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76" w:rsidRDefault="00DB37C1" w:rsidP="00AA144E">
      <w:pPr>
        <w:spacing w:after="0" w:line="240" w:lineRule="auto"/>
      </w:pPr>
      <w:r>
        <w:t xml:space="preserve"> </w:t>
      </w:r>
    </w:p>
    <w:p w:rsidR="00B60F76" w:rsidRDefault="00B60F76" w:rsidP="00AA144E">
      <w:pPr>
        <w:spacing w:after="0" w:line="240" w:lineRule="auto"/>
      </w:pPr>
    </w:p>
    <w:p w:rsidR="00B60F76" w:rsidRDefault="00B60F76" w:rsidP="00AA144E">
      <w:pPr>
        <w:spacing w:after="0" w:line="240" w:lineRule="auto"/>
      </w:pPr>
    </w:p>
    <w:p w:rsidR="00B60F76" w:rsidRDefault="00B60F76" w:rsidP="00AA144E">
      <w:pPr>
        <w:spacing w:after="0" w:line="240" w:lineRule="auto"/>
      </w:pPr>
    </w:p>
    <w:p w:rsidR="00B60F76" w:rsidRDefault="00B60F76" w:rsidP="00AA144E">
      <w:pPr>
        <w:spacing w:after="0" w:line="240" w:lineRule="auto"/>
      </w:pPr>
    </w:p>
    <w:p w:rsidR="00B60F76" w:rsidRDefault="00B60F76" w:rsidP="00AA144E">
      <w:pPr>
        <w:spacing w:after="0" w:line="240" w:lineRule="auto"/>
      </w:pPr>
    </w:p>
    <w:p w:rsidR="00B60F76" w:rsidRDefault="00B60F76" w:rsidP="00AA144E">
      <w:pPr>
        <w:spacing w:after="0" w:line="240" w:lineRule="auto"/>
      </w:pPr>
    </w:p>
    <w:p w:rsidR="00B60F76" w:rsidRDefault="00B60F76"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B60F76">
      <w:pPr>
        <w:spacing w:after="0" w:line="240" w:lineRule="auto"/>
        <w:jc w:val="center"/>
      </w:pPr>
    </w:p>
    <w:p w:rsidR="00B60F76" w:rsidRPr="00AA144E" w:rsidRDefault="00B60F76" w:rsidP="00B60F76">
      <w:pPr>
        <w:spacing w:after="0" w:line="240" w:lineRule="auto"/>
        <w:jc w:val="center"/>
        <w:rPr>
          <w:b/>
          <w:sz w:val="28"/>
        </w:rPr>
      </w:pPr>
      <w:r w:rsidRPr="00AA144E">
        <w:rPr>
          <w:b/>
          <w:sz w:val="28"/>
        </w:rPr>
        <w:t>TERMES DE REFERENCE</w:t>
      </w:r>
    </w:p>
    <w:p w:rsidR="00214BE6" w:rsidRPr="00AA144E" w:rsidRDefault="00B60F76" w:rsidP="00892C31">
      <w:pPr>
        <w:spacing w:after="0" w:line="240" w:lineRule="auto"/>
        <w:jc w:val="center"/>
        <w:rPr>
          <w:b/>
          <w:sz w:val="28"/>
        </w:rPr>
      </w:pPr>
      <w:r w:rsidRPr="00AA144E">
        <w:rPr>
          <w:b/>
          <w:sz w:val="28"/>
        </w:rPr>
        <w:t>DES FORA REGIONAUX DE CONCERTATIONS SUR L</w:t>
      </w:r>
      <w:r w:rsidR="00892C31">
        <w:rPr>
          <w:b/>
          <w:sz w:val="28"/>
        </w:rPr>
        <w:t xml:space="preserve">A GESTION DES RECETTES ISSUES DE L’EXPLOITATION </w:t>
      </w:r>
      <w:r w:rsidRPr="00AA144E">
        <w:rPr>
          <w:b/>
          <w:sz w:val="28"/>
        </w:rPr>
        <w:t>DU PETROLE ET DU GAZ</w:t>
      </w:r>
    </w:p>
    <w:p w:rsidR="00AA144E" w:rsidRDefault="00AA144E" w:rsidP="00B60F76">
      <w:pPr>
        <w:spacing w:after="0" w:line="240" w:lineRule="auto"/>
        <w:jc w:val="center"/>
      </w:pPr>
    </w:p>
    <w:p w:rsidR="00AA144E" w:rsidRDefault="00AA144E" w:rsidP="00B60F76">
      <w:pPr>
        <w:spacing w:after="0" w:line="240" w:lineRule="auto"/>
        <w:jc w:val="center"/>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AA144E" w:rsidP="00AA144E">
      <w:pPr>
        <w:spacing w:after="0" w:line="240" w:lineRule="auto"/>
      </w:pPr>
    </w:p>
    <w:p w:rsidR="00AA144E" w:rsidRDefault="00664951" w:rsidP="00664951">
      <w:pPr>
        <w:pStyle w:val="Paragraphedeliste"/>
        <w:numPr>
          <w:ilvl w:val="0"/>
          <w:numId w:val="1"/>
        </w:numPr>
        <w:spacing w:after="0" w:line="240" w:lineRule="auto"/>
        <w:rPr>
          <w:b/>
          <w:sz w:val="24"/>
        </w:rPr>
      </w:pPr>
      <w:r w:rsidRPr="00664951">
        <w:rPr>
          <w:b/>
          <w:sz w:val="24"/>
        </w:rPr>
        <w:lastRenderedPageBreak/>
        <w:t>Contexte et Justification</w:t>
      </w:r>
    </w:p>
    <w:p w:rsidR="004D3C62" w:rsidRPr="004D3C62" w:rsidRDefault="004D3C62" w:rsidP="004D3C62">
      <w:pPr>
        <w:spacing w:after="0" w:line="240" w:lineRule="auto"/>
        <w:rPr>
          <w:sz w:val="24"/>
        </w:rPr>
      </w:pPr>
    </w:p>
    <w:p w:rsidR="005B3EA9" w:rsidRPr="003E0710" w:rsidRDefault="00D15787" w:rsidP="005B3EA9">
      <w:pPr>
        <w:spacing w:after="0"/>
        <w:jc w:val="both"/>
        <w:rPr>
          <w:sz w:val="24"/>
        </w:rPr>
      </w:pPr>
      <w:r w:rsidRPr="003E0710">
        <w:rPr>
          <w:sz w:val="24"/>
        </w:rPr>
        <w:t xml:space="preserve">Les pays africains producteurs de pétrole attirent beaucoup de partenariats économiques à l’origine d’une croissance économique </w:t>
      </w:r>
      <w:r w:rsidR="005B3EA9" w:rsidRPr="003E0710">
        <w:rPr>
          <w:sz w:val="24"/>
        </w:rPr>
        <w:t xml:space="preserve">dans la plus part des cas, </w:t>
      </w:r>
      <w:r w:rsidRPr="003E0710">
        <w:rPr>
          <w:sz w:val="24"/>
        </w:rPr>
        <w:t xml:space="preserve">non inclusive et génératrice d’inégalités sociales. Ces pays ont tendance à devenir des états rentiers dépendant des recettes pétrolières qui stimulent les luttes de pouvoir.  </w:t>
      </w:r>
    </w:p>
    <w:p w:rsidR="00D15787" w:rsidRDefault="00D15787" w:rsidP="005B3EA9">
      <w:pPr>
        <w:spacing w:after="0"/>
        <w:jc w:val="both"/>
        <w:rPr>
          <w:sz w:val="24"/>
        </w:rPr>
      </w:pPr>
      <w:r w:rsidRPr="003E0710">
        <w:rPr>
          <w:sz w:val="24"/>
        </w:rPr>
        <w:t xml:space="preserve">L’entrée massive de revenus pétroliers a tendance à faire disparaître les autres activités productives et à installer la mal gouvernance. </w:t>
      </w:r>
    </w:p>
    <w:p w:rsidR="003A7E3E" w:rsidRPr="003E0710" w:rsidRDefault="003D79EC" w:rsidP="005B3EA9">
      <w:pPr>
        <w:spacing w:after="0"/>
        <w:jc w:val="both"/>
        <w:rPr>
          <w:sz w:val="24"/>
        </w:rPr>
      </w:pPr>
      <w:r>
        <w:rPr>
          <w:sz w:val="24"/>
        </w:rPr>
        <w:t>Depuis 2014, il a été découvert dans notre pays, d’importants gisements de pétrole et de gaz qui feront du Sénégal un producteur de taille en Afrique</w:t>
      </w:r>
      <w:r w:rsidR="00527BB7">
        <w:rPr>
          <w:sz w:val="24"/>
        </w:rPr>
        <w:t xml:space="preserve">. Cette situation a conduit le pays à l’amélioration de son cadre législatif avec un code pétrolier adapté </w:t>
      </w:r>
      <w:r w:rsidR="00715A19">
        <w:rPr>
          <w:sz w:val="24"/>
        </w:rPr>
        <w:t xml:space="preserve">(prenant en compte le contexte de l’industrie du pétrole, la nécessité d’être attractif par rapport aux investisseurs, ainsi que l’augmentation des revenus tirés par l’état de ce secteur) </w:t>
      </w:r>
      <w:r w:rsidR="00527BB7">
        <w:rPr>
          <w:sz w:val="24"/>
        </w:rPr>
        <w:t>et qui requerra davantage des modifications ultérieures.</w:t>
      </w:r>
    </w:p>
    <w:p w:rsidR="00AB53B8" w:rsidRPr="003E0710" w:rsidRDefault="00527BB7" w:rsidP="005B3EA9">
      <w:pPr>
        <w:spacing w:after="0"/>
        <w:jc w:val="both"/>
        <w:rPr>
          <w:sz w:val="24"/>
        </w:rPr>
      </w:pPr>
      <w:r>
        <w:rPr>
          <w:sz w:val="24"/>
        </w:rPr>
        <w:t>Pour prévenir l</w:t>
      </w:r>
      <w:r w:rsidR="00D15787" w:rsidRPr="003E0710">
        <w:rPr>
          <w:sz w:val="24"/>
        </w:rPr>
        <w:t>es dysfonctionnements sociaux et économiques</w:t>
      </w:r>
      <w:r w:rsidR="00AB53B8" w:rsidRPr="003E0710">
        <w:rPr>
          <w:sz w:val="24"/>
        </w:rPr>
        <w:t xml:space="preserve"> </w:t>
      </w:r>
      <w:r>
        <w:rPr>
          <w:sz w:val="24"/>
        </w:rPr>
        <w:t xml:space="preserve">ci-dessus indiqués </w:t>
      </w:r>
      <w:r w:rsidR="00AB53B8" w:rsidRPr="003E0710">
        <w:rPr>
          <w:sz w:val="24"/>
        </w:rPr>
        <w:t>dans notre pays,</w:t>
      </w:r>
      <w:r w:rsidR="00D15787" w:rsidRPr="003E0710">
        <w:rPr>
          <w:sz w:val="24"/>
        </w:rPr>
        <w:t xml:space="preserve"> </w:t>
      </w:r>
      <w:r w:rsidR="00AB53B8" w:rsidRPr="003E0710">
        <w:rPr>
          <w:sz w:val="24"/>
        </w:rPr>
        <w:t>le chef de l’</w:t>
      </w:r>
      <w:proofErr w:type="spellStart"/>
      <w:r w:rsidR="00AB53B8" w:rsidRPr="003E0710">
        <w:rPr>
          <w:sz w:val="24"/>
        </w:rPr>
        <w:t>Etat</w:t>
      </w:r>
      <w:proofErr w:type="spellEnd"/>
      <w:r w:rsidR="00AB53B8" w:rsidRPr="003E0710">
        <w:rPr>
          <w:sz w:val="24"/>
        </w:rPr>
        <w:t xml:space="preserve"> a initié des concertations citoyennes sur la gestion des recettes issues de l’exploitation du pétrole et du gaz.</w:t>
      </w:r>
    </w:p>
    <w:p w:rsidR="00512DB5" w:rsidRPr="003E0710" w:rsidRDefault="005B3EA9" w:rsidP="005B3EA9">
      <w:pPr>
        <w:spacing w:after="0" w:line="240" w:lineRule="auto"/>
        <w:jc w:val="both"/>
        <w:rPr>
          <w:sz w:val="24"/>
        </w:rPr>
      </w:pPr>
      <w:r w:rsidRPr="003E0710">
        <w:rPr>
          <w:sz w:val="24"/>
        </w:rPr>
        <w:t>La matérialisation de la volonté du Chef de l’</w:t>
      </w:r>
      <w:proofErr w:type="spellStart"/>
      <w:r w:rsidRPr="003E0710">
        <w:rPr>
          <w:sz w:val="24"/>
        </w:rPr>
        <w:t>Etat</w:t>
      </w:r>
      <w:proofErr w:type="spellEnd"/>
      <w:r w:rsidRPr="003E0710">
        <w:rPr>
          <w:sz w:val="24"/>
        </w:rPr>
        <w:t xml:space="preserve"> repose sur un dialogue participatif et inclusif entre tous les acteurs de la vie économique, sociale, politique et culturelle du Sénégal des profondeurs</w:t>
      </w:r>
      <w:r w:rsidR="00527BB7">
        <w:rPr>
          <w:sz w:val="24"/>
        </w:rPr>
        <w:t xml:space="preserve"> (les régions administratives)</w:t>
      </w:r>
      <w:r w:rsidRPr="003E0710">
        <w:rPr>
          <w:sz w:val="24"/>
        </w:rPr>
        <w:t>.</w:t>
      </w:r>
    </w:p>
    <w:p w:rsidR="003E0710" w:rsidRPr="003E0710" w:rsidRDefault="003E0710" w:rsidP="005B3EA9">
      <w:pPr>
        <w:spacing w:after="0" w:line="240" w:lineRule="auto"/>
        <w:jc w:val="both"/>
        <w:rPr>
          <w:sz w:val="24"/>
        </w:rPr>
      </w:pPr>
    </w:p>
    <w:p w:rsidR="004865DF" w:rsidRPr="003E0710" w:rsidRDefault="005B3EA9" w:rsidP="003E0710">
      <w:pPr>
        <w:spacing w:after="0" w:line="240" w:lineRule="auto"/>
        <w:jc w:val="both"/>
        <w:rPr>
          <w:sz w:val="24"/>
        </w:rPr>
      </w:pPr>
      <w:r w:rsidRPr="003E0710">
        <w:rPr>
          <w:sz w:val="24"/>
        </w:rPr>
        <w:t>Notre org</w:t>
      </w:r>
      <w:r w:rsidR="00D8371C">
        <w:rPr>
          <w:sz w:val="24"/>
        </w:rPr>
        <w:t>anisation et le CONGAD, en rapport avec le GE</w:t>
      </w:r>
      <w:r w:rsidRPr="003E0710">
        <w:rPr>
          <w:sz w:val="24"/>
        </w:rPr>
        <w:t>S Pétro Gaz, se proposent d’accompagner le gouvernement dans l’organisation et l’animation de ce dialogue à l’intérieur du pays. Un rapport de synthèse des concertations sera remis au Chef de l’</w:t>
      </w:r>
      <w:proofErr w:type="spellStart"/>
      <w:r w:rsidRPr="003E0710">
        <w:rPr>
          <w:sz w:val="24"/>
        </w:rPr>
        <w:t>Etat</w:t>
      </w:r>
      <w:proofErr w:type="spellEnd"/>
      <w:r w:rsidRPr="003E0710">
        <w:rPr>
          <w:sz w:val="24"/>
        </w:rPr>
        <w:t>.</w:t>
      </w:r>
    </w:p>
    <w:p w:rsidR="003E0710" w:rsidRPr="003E0710" w:rsidRDefault="003E0710" w:rsidP="003E0710">
      <w:pPr>
        <w:spacing w:after="0" w:line="240" w:lineRule="auto"/>
        <w:jc w:val="both"/>
        <w:rPr>
          <w:color w:val="FF0000"/>
          <w:sz w:val="24"/>
        </w:rPr>
      </w:pPr>
    </w:p>
    <w:p w:rsidR="00664951" w:rsidRDefault="00664951" w:rsidP="00664951">
      <w:pPr>
        <w:pStyle w:val="Paragraphedeliste"/>
        <w:numPr>
          <w:ilvl w:val="0"/>
          <w:numId w:val="1"/>
        </w:numPr>
        <w:spacing w:after="0" w:line="240" w:lineRule="auto"/>
        <w:rPr>
          <w:b/>
          <w:sz w:val="24"/>
        </w:rPr>
      </w:pPr>
      <w:r w:rsidRPr="00664951">
        <w:rPr>
          <w:b/>
          <w:sz w:val="24"/>
        </w:rPr>
        <w:t>Objet des fora</w:t>
      </w:r>
      <w:r w:rsidR="004D41C8">
        <w:rPr>
          <w:b/>
          <w:sz w:val="24"/>
        </w:rPr>
        <w:t xml:space="preserve"> régionaux</w:t>
      </w:r>
    </w:p>
    <w:p w:rsidR="00664951" w:rsidRPr="002658BE" w:rsidRDefault="00664951" w:rsidP="002658BE">
      <w:pPr>
        <w:spacing w:after="0" w:line="240" w:lineRule="auto"/>
        <w:ind w:left="1080"/>
        <w:rPr>
          <w:sz w:val="24"/>
        </w:rPr>
      </w:pPr>
    </w:p>
    <w:p w:rsidR="00512DB5" w:rsidRDefault="008C7632" w:rsidP="00D31ED1">
      <w:pPr>
        <w:spacing w:after="0" w:line="240" w:lineRule="auto"/>
        <w:jc w:val="both"/>
        <w:rPr>
          <w:sz w:val="24"/>
        </w:rPr>
      </w:pPr>
      <w:r>
        <w:rPr>
          <w:sz w:val="24"/>
        </w:rPr>
        <w:t xml:space="preserve">L’objet des concertations régionales consiste à recueillir les avis et propositions des forces vives du pays sur </w:t>
      </w:r>
      <w:r w:rsidR="00AB53B8">
        <w:rPr>
          <w:sz w:val="24"/>
        </w:rPr>
        <w:t>la gestion des recettes issues de l’exploitation du pétrole et du gaz</w:t>
      </w:r>
      <w:r w:rsidR="009B46F7">
        <w:rPr>
          <w:sz w:val="24"/>
        </w:rPr>
        <w:t xml:space="preserve"> </w:t>
      </w:r>
      <w:r>
        <w:rPr>
          <w:sz w:val="24"/>
        </w:rPr>
        <w:t xml:space="preserve">dans le but </w:t>
      </w:r>
      <w:r w:rsidR="00AB53B8">
        <w:rPr>
          <w:sz w:val="24"/>
        </w:rPr>
        <w:t xml:space="preserve">de contribuer à l’élaboration d’une </w:t>
      </w:r>
      <w:r w:rsidR="003D79EC">
        <w:rPr>
          <w:sz w:val="24"/>
        </w:rPr>
        <w:t>loi</w:t>
      </w:r>
      <w:r w:rsidR="00AB53B8">
        <w:rPr>
          <w:sz w:val="24"/>
        </w:rPr>
        <w:t xml:space="preserve"> participative </w:t>
      </w:r>
      <w:r w:rsidR="003D79EC">
        <w:rPr>
          <w:sz w:val="24"/>
        </w:rPr>
        <w:t xml:space="preserve">d’orientation </w:t>
      </w:r>
      <w:r w:rsidR="00AB53B8">
        <w:rPr>
          <w:sz w:val="24"/>
        </w:rPr>
        <w:t xml:space="preserve">sur le sujet à la demande </w:t>
      </w:r>
      <w:r w:rsidR="003D79EC">
        <w:rPr>
          <w:sz w:val="24"/>
        </w:rPr>
        <w:t>du Président</w:t>
      </w:r>
      <w:r>
        <w:rPr>
          <w:sz w:val="24"/>
        </w:rPr>
        <w:t xml:space="preserve"> de la République</w:t>
      </w:r>
      <w:r w:rsidR="001F41BE">
        <w:rPr>
          <w:sz w:val="24"/>
        </w:rPr>
        <w:t>.</w:t>
      </w:r>
    </w:p>
    <w:p w:rsidR="00512DB5" w:rsidRPr="002658BE" w:rsidRDefault="00512DB5" w:rsidP="002658BE">
      <w:pPr>
        <w:spacing w:after="0" w:line="240" w:lineRule="auto"/>
        <w:ind w:left="1080"/>
        <w:rPr>
          <w:sz w:val="24"/>
        </w:rPr>
      </w:pPr>
    </w:p>
    <w:p w:rsidR="00664951" w:rsidRDefault="00664951" w:rsidP="00664951">
      <w:pPr>
        <w:pStyle w:val="Paragraphedeliste"/>
        <w:numPr>
          <w:ilvl w:val="0"/>
          <w:numId w:val="1"/>
        </w:numPr>
        <w:spacing w:after="0" w:line="240" w:lineRule="auto"/>
        <w:rPr>
          <w:b/>
          <w:sz w:val="24"/>
        </w:rPr>
      </w:pPr>
      <w:r w:rsidRPr="00664951">
        <w:rPr>
          <w:b/>
          <w:sz w:val="24"/>
        </w:rPr>
        <w:t>Objectifs spécifiques</w:t>
      </w:r>
    </w:p>
    <w:p w:rsidR="00664951" w:rsidRPr="002658BE" w:rsidRDefault="00664951" w:rsidP="002658BE">
      <w:pPr>
        <w:spacing w:after="0" w:line="240" w:lineRule="auto"/>
        <w:ind w:left="1080"/>
        <w:rPr>
          <w:sz w:val="24"/>
        </w:rPr>
      </w:pPr>
    </w:p>
    <w:p w:rsidR="00664951" w:rsidRDefault="001F41BE" w:rsidP="00D31ED1">
      <w:pPr>
        <w:spacing w:after="0" w:line="240" w:lineRule="auto"/>
        <w:jc w:val="both"/>
        <w:rPr>
          <w:sz w:val="24"/>
        </w:rPr>
      </w:pPr>
      <w:r>
        <w:rPr>
          <w:sz w:val="24"/>
        </w:rPr>
        <w:t>Les objectifs spécifiques se résument à :</w:t>
      </w:r>
    </w:p>
    <w:p w:rsidR="005D1F66" w:rsidRDefault="005D1F66" w:rsidP="00D31ED1">
      <w:pPr>
        <w:spacing w:after="0" w:line="240" w:lineRule="auto"/>
        <w:jc w:val="both"/>
        <w:rPr>
          <w:sz w:val="24"/>
        </w:rPr>
      </w:pPr>
    </w:p>
    <w:p w:rsidR="001F41BE" w:rsidRDefault="001F41BE" w:rsidP="00D31ED1">
      <w:pPr>
        <w:pStyle w:val="Paragraphedeliste"/>
        <w:numPr>
          <w:ilvl w:val="0"/>
          <w:numId w:val="2"/>
        </w:numPr>
        <w:spacing w:after="0" w:line="240" w:lineRule="auto"/>
        <w:ind w:left="360"/>
        <w:jc w:val="both"/>
        <w:rPr>
          <w:sz w:val="24"/>
        </w:rPr>
      </w:pPr>
      <w:r>
        <w:rPr>
          <w:sz w:val="24"/>
        </w:rPr>
        <w:t xml:space="preserve">Organiser la tenue de fora </w:t>
      </w:r>
      <w:r w:rsidR="005D1F66">
        <w:rPr>
          <w:sz w:val="24"/>
        </w:rPr>
        <w:t xml:space="preserve">de concertations </w:t>
      </w:r>
      <w:r>
        <w:rPr>
          <w:sz w:val="24"/>
        </w:rPr>
        <w:t xml:space="preserve">dans toutes les régions du pays </w:t>
      </w:r>
      <w:r w:rsidR="005D1F66">
        <w:rPr>
          <w:sz w:val="24"/>
        </w:rPr>
        <w:t>sous la présidence des gouverneurs ;</w:t>
      </w:r>
    </w:p>
    <w:p w:rsidR="005D1F66" w:rsidRDefault="005D1F66" w:rsidP="00D31ED1">
      <w:pPr>
        <w:pStyle w:val="Paragraphedeliste"/>
        <w:numPr>
          <w:ilvl w:val="0"/>
          <w:numId w:val="2"/>
        </w:numPr>
        <w:spacing w:after="0" w:line="240" w:lineRule="auto"/>
        <w:ind w:left="360"/>
        <w:jc w:val="both"/>
        <w:rPr>
          <w:sz w:val="24"/>
        </w:rPr>
      </w:pPr>
      <w:r>
        <w:rPr>
          <w:sz w:val="24"/>
        </w:rPr>
        <w:t>Informer et sensibiliser les populations sur les enjeux et défis liés à l’exploitation et à la commercialisation du pétrole et du gaz</w:t>
      </w:r>
      <w:r w:rsidR="009B46F7">
        <w:rPr>
          <w:sz w:val="24"/>
        </w:rPr>
        <w:t xml:space="preserve"> dans notre pays ;</w:t>
      </w:r>
    </w:p>
    <w:p w:rsidR="009B46F7" w:rsidRDefault="009B46F7" w:rsidP="00D31ED1">
      <w:pPr>
        <w:pStyle w:val="Paragraphedeliste"/>
        <w:numPr>
          <w:ilvl w:val="0"/>
          <w:numId w:val="2"/>
        </w:numPr>
        <w:spacing w:after="0" w:line="240" w:lineRule="auto"/>
        <w:ind w:left="360"/>
        <w:jc w:val="both"/>
        <w:rPr>
          <w:sz w:val="24"/>
        </w:rPr>
      </w:pPr>
      <w:r>
        <w:rPr>
          <w:sz w:val="24"/>
        </w:rPr>
        <w:t>Collecter les avis et propositions des représentants des forces vives de la nation sur l’utilisation des ressources financières issues de la vente du pétrole et du gaz ;</w:t>
      </w:r>
    </w:p>
    <w:p w:rsidR="00512DB5" w:rsidRPr="009B46F7" w:rsidRDefault="009B46F7" w:rsidP="00D31ED1">
      <w:pPr>
        <w:pStyle w:val="Paragraphedeliste"/>
        <w:numPr>
          <w:ilvl w:val="0"/>
          <w:numId w:val="2"/>
        </w:numPr>
        <w:spacing w:after="0" w:line="240" w:lineRule="auto"/>
        <w:ind w:left="360"/>
        <w:jc w:val="both"/>
        <w:rPr>
          <w:sz w:val="24"/>
        </w:rPr>
      </w:pPr>
      <w:r>
        <w:rPr>
          <w:sz w:val="24"/>
        </w:rPr>
        <w:t xml:space="preserve">Soumettre à la haute autorité de la République, le rapport, objet de synthèse des concertations régionales. </w:t>
      </w:r>
    </w:p>
    <w:p w:rsidR="00322355" w:rsidRPr="002658BE" w:rsidRDefault="00322355" w:rsidP="000C2CEA">
      <w:pPr>
        <w:spacing w:after="0" w:line="240" w:lineRule="auto"/>
        <w:rPr>
          <w:sz w:val="24"/>
        </w:rPr>
      </w:pPr>
    </w:p>
    <w:p w:rsidR="00664951" w:rsidRDefault="00664951" w:rsidP="00664951">
      <w:pPr>
        <w:pStyle w:val="Paragraphedeliste"/>
        <w:numPr>
          <w:ilvl w:val="0"/>
          <w:numId w:val="1"/>
        </w:numPr>
        <w:spacing w:after="0" w:line="240" w:lineRule="auto"/>
        <w:rPr>
          <w:b/>
          <w:sz w:val="24"/>
        </w:rPr>
      </w:pPr>
      <w:r w:rsidRPr="00664951">
        <w:rPr>
          <w:b/>
          <w:sz w:val="24"/>
        </w:rPr>
        <w:lastRenderedPageBreak/>
        <w:t>Cibles et Résultats attendus</w:t>
      </w:r>
    </w:p>
    <w:p w:rsidR="00664951" w:rsidRDefault="00664951" w:rsidP="002658BE">
      <w:pPr>
        <w:spacing w:after="0" w:line="240" w:lineRule="auto"/>
        <w:ind w:left="1080"/>
        <w:rPr>
          <w:sz w:val="24"/>
        </w:rPr>
      </w:pPr>
    </w:p>
    <w:p w:rsidR="00512DB5" w:rsidRDefault="004D41C8" w:rsidP="00D31ED1">
      <w:pPr>
        <w:spacing w:after="0" w:line="240" w:lineRule="auto"/>
        <w:jc w:val="both"/>
        <w:rPr>
          <w:sz w:val="24"/>
        </w:rPr>
      </w:pPr>
      <w:r>
        <w:rPr>
          <w:sz w:val="24"/>
        </w:rPr>
        <w:t>Les cibles visées lors de ces concertations sont nombreuses et concernent toutes les catégories socio professionnelles et autres associations populaires dans l’espace régional.</w:t>
      </w:r>
    </w:p>
    <w:p w:rsidR="003A7E3E" w:rsidRPr="002658BE" w:rsidRDefault="003A7E3E" w:rsidP="00527BB7">
      <w:pPr>
        <w:spacing w:after="0" w:line="240" w:lineRule="auto"/>
        <w:rPr>
          <w:sz w:val="24"/>
        </w:rPr>
      </w:pPr>
    </w:p>
    <w:p w:rsidR="00664951" w:rsidRPr="002A5A87" w:rsidRDefault="00512DB5" w:rsidP="00512DB5">
      <w:pPr>
        <w:pStyle w:val="Paragraphedeliste"/>
        <w:numPr>
          <w:ilvl w:val="1"/>
          <w:numId w:val="1"/>
        </w:numPr>
        <w:spacing w:after="0" w:line="240" w:lineRule="auto"/>
        <w:rPr>
          <w:b/>
          <w:sz w:val="24"/>
        </w:rPr>
      </w:pPr>
      <w:r w:rsidRPr="002A5A87">
        <w:rPr>
          <w:b/>
          <w:sz w:val="24"/>
        </w:rPr>
        <w:t>Les Cibles</w:t>
      </w:r>
    </w:p>
    <w:p w:rsidR="004D41C8" w:rsidRDefault="004D41C8" w:rsidP="004D41C8">
      <w:pPr>
        <w:pStyle w:val="Paragraphedeliste"/>
        <w:spacing w:after="0" w:line="240" w:lineRule="auto"/>
        <w:ind w:left="1440"/>
        <w:rPr>
          <w:sz w:val="24"/>
        </w:rPr>
      </w:pPr>
    </w:p>
    <w:p w:rsidR="00512DB5" w:rsidRDefault="004D41C8" w:rsidP="00D31ED1">
      <w:pPr>
        <w:spacing w:after="0" w:line="240" w:lineRule="auto"/>
        <w:rPr>
          <w:sz w:val="24"/>
        </w:rPr>
      </w:pPr>
      <w:r>
        <w:rPr>
          <w:sz w:val="24"/>
        </w:rPr>
        <w:t>Il s’agit des :</w:t>
      </w:r>
    </w:p>
    <w:p w:rsidR="004D41C8" w:rsidRDefault="004D41C8" w:rsidP="00020CC4">
      <w:pPr>
        <w:pStyle w:val="Paragraphedeliste"/>
        <w:numPr>
          <w:ilvl w:val="0"/>
          <w:numId w:val="2"/>
        </w:numPr>
        <w:spacing w:after="0" w:line="240" w:lineRule="auto"/>
        <w:jc w:val="both"/>
        <w:rPr>
          <w:sz w:val="24"/>
        </w:rPr>
      </w:pPr>
      <w:r>
        <w:rPr>
          <w:sz w:val="24"/>
        </w:rPr>
        <w:t>Représentants du gouvernement</w:t>
      </w:r>
      <w:r w:rsidR="00E004AF">
        <w:rPr>
          <w:sz w:val="24"/>
        </w:rPr>
        <w:t xml:space="preserve"> </w:t>
      </w:r>
      <w:r w:rsidR="00D31ED1">
        <w:rPr>
          <w:sz w:val="24"/>
        </w:rPr>
        <w:t>et des collectivités locales</w:t>
      </w:r>
      <w:r w:rsidR="00E004AF">
        <w:rPr>
          <w:sz w:val="24"/>
        </w:rPr>
        <w:t xml:space="preserve">, </w:t>
      </w:r>
      <w:r w:rsidR="00D31ED1">
        <w:rPr>
          <w:sz w:val="24"/>
        </w:rPr>
        <w:t xml:space="preserve">à travers les services régionaux,  </w:t>
      </w:r>
      <w:r w:rsidR="00E004AF">
        <w:rPr>
          <w:sz w:val="24"/>
        </w:rPr>
        <w:t xml:space="preserve">départements et au niveau des </w:t>
      </w:r>
      <w:proofErr w:type="spellStart"/>
      <w:r w:rsidR="00E004AF">
        <w:rPr>
          <w:sz w:val="24"/>
        </w:rPr>
        <w:t>sous préfectures</w:t>
      </w:r>
      <w:proofErr w:type="spellEnd"/>
      <w:r w:rsidR="00E004AF">
        <w:rPr>
          <w:sz w:val="24"/>
        </w:rPr>
        <w:t> </w:t>
      </w:r>
      <w:r w:rsidR="00D31ED1">
        <w:rPr>
          <w:sz w:val="24"/>
        </w:rPr>
        <w:t>et communes</w:t>
      </w:r>
      <w:r w:rsidR="00E004AF">
        <w:rPr>
          <w:sz w:val="24"/>
        </w:rPr>
        <w:t>;</w:t>
      </w:r>
    </w:p>
    <w:p w:rsidR="00E004AF" w:rsidRDefault="00E004AF" w:rsidP="00020CC4">
      <w:pPr>
        <w:pStyle w:val="Paragraphedeliste"/>
        <w:numPr>
          <w:ilvl w:val="0"/>
          <w:numId w:val="2"/>
        </w:numPr>
        <w:spacing w:after="0" w:line="240" w:lineRule="auto"/>
        <w:jc w:val="both"/>
        <w:rPr>
          <w:sz w:val="24"/>
        </w:rPr>
      </w:pPr>
      <w:r>
        <w:rPr>
          <w:sz w:val="24"/>
        </w:rPr>
        <w:t>Représentants des organisations professionnelles de product</w:t>
      </w:r>
      <w:r w:rsidR="00F20CFB">
        <w:rPr>
          <w:sz w:val="24"/>
        </w:rPr>
        <w:t>eurs</w:t>
      </w:r>
      <w:r>
        <w:rPr>
          <w:sz w:val="24"/>
        </w:rPr>
        <w:t xml:space="preserve"> et de </w:t>
      </w:r>
      <w:r w:rsidR="00F20CFB">
        <w:rPr>
          <w:sz w:val="24"/>
        </w:rPr>
        <w:t xml:space="preserve">prestataires de </w:t>
      </w:r>
      <w:r>
        <w:rPr>
          <w:sz w:val="24"/>
        </w:rPr>
        <w:t>services</w:t>
      </w:r>
      <w:r w:rsidR="00020CC4">
        <w:rPr>
          <w:sz w:val="24"/>
        </w:rPr>
        <w:t xml:space="preserve"> du secteur privé</w:t>
      </w:r>
      <w:r w:rsidR="00D31ED1">
        <w:rPr>
          <w:sz w:val="24"/>
        </w:rPr>
        <w:t>;</w:t>
      </w:r>
    </w:p>
    <w:p w:rsidR="00D31ED1" w:rsidRDefault="00D31ED1" w:rsidP="00020CC4">
      <w:pPr>
        <w:pStyle w:val="Paragraphedeliste"/>
        <w:numPr>
          <w:ilvl w:val="0"/>
          <w:numId w:val="2"/>
        </w:numPr>
        <w:spacing w:after="0" w:line="240" w:lineRule="auto"/>
        <w:jc w:val="both"/>
        <w:rPr>
          <w:sz w:val="24"/>
        </w:rPr>
      </w:pPr>
      <w:r>
        <w:rPr>
          <w:sz w:val="24"/>
        </w:rPr>
        <w:t>Représentants</w:t>
      </w:r>
      <w:r w:rsidR="00E004AF">
        <w:rPr>
          <w:sz w:val="24"/>
        </w:rPr>
        <w:t xml:space="preserve"> des autres organisations de la société civi</w:t>
      </w:r>
      <w:r>
        <w:rPr>
          <w:sz w:val="24"/>
        </w:rPr>
        <w:t xml:space="preserve">le (ONG, Jeunes, femmes, chefs religieux, </w:t>
      </w:r>
      <w:r w:rsidR="00F20CFB">
        <w:rPr>
          <w:sz w:val="24"/>
        </w:rPr>
        <w:t>syndicats de travailleurs, </w:t>
      </w:r>
      <w:r>
        <w:rPr>
          <w:sz w:val="24"/>
        </w:rPr>
        <w:t>etc.)</w:t>
      </w:r>
      <w:r w:rsidR="00020CC4">
        <w:rPr>
          <w:sz w:val="24"/>
        </w:rPr>
        <w:t>.</w:t>
      </w:r>
    </w:p>
    <w:p w:rsidR="00020CC4" w:rsidRDefault="00020CC4" w:rsidP="00020CC4">
      <w:pPr>
        <w:pStyle w:val="Paragraphedeliste"/>
        <w:spacing w:after="0" w:line="240" w:lineRule="auto"/>
        <w:ind w:left="1440"/>
        <w:jc w:val="both"/>
        <w:rPr>
          <w:sz w:val="24"/>
        </w:rPr>
      </w:pPr>
    </w:p>
    <w:p w:rsidR="00E004AF" w:rsidRDefault="00020CC4" w:rsidP="00020CC4">
      <w:pPr>
        <w:spacing w:after="0" w:line="240" w:lineRule="auto"/>
        <w:jc w:val="both"/>
        <w:rPr>
          <w:sz w:val="24"/>
        </w:rPr>
      </w:pPr>
      <w:r>
        <w:rPr>
          <w:sz w:val="24"/>
        </w:rPr>
        <w:t>Des personnes – ressources du secteur du pétrole et du gaz peuvent se joindre à ces communautés dans le cadre des échanges.</w:t>
      </w:r>
    </w:p>
    <w:p w:rsidR="00512DB5" w:rsidRPr="00512DB5" w:rsidRDefault="00512DB5" w:rsidP="00512DB5">
      <w:pPr>
        <w:spacing w:after="0" w:line="240" w:lineRule="auto"/>
        <w:rPr>
          <w:sz w:val="24"/>
        </w:rPr>
      </w:pPr>
    </w:p>
    <w:p w:rsidR="00512DB5" w:rsidRPr="002A5A87" w:rsidRDefault="00512DB5" w:rsidP="00512DB5">
      <w:pPr>
        <w:pStyle w:val="Paragraphedeliste"/>
        <w:numPr>
          <w:ilvl w:val="1"/>
          <w:numId w:val="1"/>
        </w:numPr>
        <w:spacing w:after="0" w:line="240" w:lineRule="auto"/>
        <w:rPr>
          <w:b/>
          <w:sz w:val="24"/>
        </w:rPr>
      </w:pPr>
      <w:r w:rsidRPr="002A5A87">
        <w:rPr>
          <w:b/>
          <w:sz w:val="24"/>
        </w:rPr>
        <w:t>Les Résultats attendus des fora</w:t>
      </w:r>
    </w:p>
    <w:p w:rsidR="00020CC4" w:rsidRPr="00020CC4" w:rsidRDefault="00020CC4" w:rsidP="00020CC4">
      <w:pPr>
        <w:spacing w:after="0" w:line="240" w:lineRule="auto"/>
        <w:rPr>
          <w:sz w:val="24"/>
        </w:rPr>
      </w:pPr>
    </w:p>
    <w:p w:rsidR="00512DB5" w:rsidRDefault="00020CC4" w:rsidP="003E51AA">
      <w:pPr>
        <w:spacing w:after="0" w:line="240" w:lineRule="auto"/>
        <w:jc w:val="both"/>
        <w:rPr>
          <w:sz w:val="24"/>
        </w:rPr>
      </w:pPr>
      <w:r>
        <w:rPr>
          <w:sz w:val="24"/>
        </w:rPr>
        <w:t>Les résultats attendus de la tenue des fora se résument à :</w:t>
      </w:r>
    </w:p>
    <w:p w:rsidR="00020CC4" w:rsidRDefault="00020CC4" w:rsidP="003E51AA">
      <w:pPr>
        <w:spacing w:after="0" w:line="240" w:lineRule="auto"/>
        <w:jc w:val="both"/>
        <w:rPr>
          <w:sz w:val="24"/>
        </w:rPr>
      </w:pPr>
    </w:p>
    <w:p w:rsidR="00E634EA" w:rsidRDefault="00E634EA" w:rsidP="003E51AA">
      <w:pPr>
        <w:pStyle w:val="Paragraphedeliste"/>
        <w:numPr>
          <w:ilvl w:val="0"/>
          <w:numId w:val="2"/>
        </w:numPr>
        <w:spacing w:after="0" w:line="240" w:lineRule="auto"/>
        <w:jc w:val="both"/>
        <w:rPr>
          <w:sz w:val="24"/>
        </w:rPr>
      </w:pPr>
      <w:r>
        <w:rPr>
          <w:sz w:val="24"/>
        </w:rPr>
        <w:t>Mille Quatre Cent (1400) participants de toutes les régions administratives se concertent autour de l’utilisation des ressources financières issues du pétrole et du gaz</w:t>
      </w:r>
      <w:r w:rsidR="003550E6">
        <w:rPr>
          <w:rStyle w:val="Appelnotedebasdep"/>
          <w:sz w:val="24"/>
        </w:rPr>
        <w:footnoteReference w:id="1"/>
      </w:r>
      <w:r>
        <w:rPr>
          <w:sz w:val="24"/>
        </w:rPr>
        <w:t> ;</w:t>
      </w:r>
    </w:p>
    <w:p w:rsidR="00E634EA" w:rsidRDefault="00E634EA" w:rsidP="003E51AA">
      <w:pPr>
        <w:pStyle w:val="Paragraphedeliste"/>
        <w:numPr>
          <w:ilvl w:val="0"/>
          <w:numId w:val="2"/>
        </w:numPr>
        <w:spacing w:after="0" w:line="240" w:lineRule="auto"/>
        <w:jc w:val="both"/>
        <w:rPr>
          <w:sz w:val="24"/>
        </w:rPr>
      </w:pPr>
      <w:r>
        <w:rPr>
          <w:sz w:val="24"/>
        </w:rPr>
        <w:t xml:space="preserve">Les </w:t>
      </w:r>
      <w:r w:rsidR="0018759F">
        <w:rPr>
          <w:sz w:val="24"/>
        </w:rPr>
        <w:t xml:space="preserve">trois (03) </w:t>
      </w:r>
      <w:r>
        <w:rPr>
          <w:sz w:val="24"/>
        </w:rPr>
        <w:t>structures membres du</w:t>
      </w:r>
      <w:r w:rsidR="0018759F">
        <w:rPr>
          <w:sz w:val="24"/>
        </w:rPr>
        <w:t xml:space="preserve"> mécanisme</w:t>
      </w:r>
      <w:r>
        <w:rPr>
          <w:sz w:val="24"/>
        </w:rPr>
        <w:t xml:space="preserve"> de suivi</w:t>
      </w:r>
      <w:r w:rsidR="0018759F">
        <w:rPr>
          <w:sz w:val="24"/>
        </w:rPr>
        <w:t xml:space="preserve"> (COS Petro Gaz</w:t>
      </w:r>
      <w:r w:rsidR="00D8371C">
        <w:rPr>
          <w:sz w:val="24"/>
        </w:rPr>
        <w:t>/ GESPETROGAZ</w:t>
      </w:r>
      <w:r w:rsidR="0018759F">
        <w:rPr>
          <w:sz w:val="24"/>
        </w:rPr>
        <w:t>, PETROSEN et le Secrétariat de l’ITIE) ont échangé avec les participants sur les enjeux et défis liés à l’exploitation et à la commercialisation du pétrole et du gaz dans notre pays ; </w:t>
      </w:r>
    </w:p>
    <w:p w:rsidR="003550E6" w:rsidRDefault="003550E6" w:rsidP="003E51AA">
      <w:pPr>
        <w:pStyle w:val="Paragraphedeliste"/>
        <w:numPr>
          <w:ilvl w:val="0"/>
          <w:numId w:val="2"/>
        </w:numPr>
        <w:spacing w:after="0" w:line="240" w:lineRule="auto"/>
        <w:jc w:val="both"/>
        <w:rPr>
          <w:sz w:val="24"/>
        </w:rPr>
      </w:pPr>
      <w:r>
        <w:rPr>
          <w:sz w:val="24"/>
        </w:rPr>
        <w:t xml:space="preserve">Les avis et propositions des participants sur l’utilisation des ressources financières issues du pétrole et du gaz sont consignés dans quatorze (14) </w:t>
      </w:r>
      <w:r w:rsidR="007F52CD">
        <w:rPr>
          <w:sz w:val="24"/>
        </w:rPr>
        <w:t>procès-verbaux</w:t>
      </w:r>
      <w:r>
        <w:rPr>
          <w:sz w:val="24"/>
        </w:rPr>
        <w:t xml:space="preserve"> de réunion</w:t>
      </w:r>
      <w:r>
        <w:rPr>
          <w:rStyle w:val="Appelnotedebasdep"/>
          <w:sz w:val="24"/>
        </w:rPr>
        <w:footnoteReference w:id="2"/>
      </w:r>
      <w:r>
        <w:rPr>
          <w:sz w:val="24"/>
        </w:rPr>
        <w:t>;</w:t>
      </w:r>
    </w:p>
    <w:p w:rsidR="00512DB5" w:rsidRPr="00D25391" w:rsidRDefault="003E51AA" w:rsidP="00512DB5">
      <w:pPr>
        <w:pStyle w:val="Paragraphedeliste"/>
        <w:numPr>
          <w:ilvl w:val="0"/>
          <w:numId w:val="2"/>
        </w:numPr>
        <w:spacing w:after="0" w:line="240" w:lineRule="auto"/>
        <w:jc w:val="both"/>
        <w:rPr>
          <w:sz w:val="24"/>
        </w:rPr>
      </w:pPr>
      <w:r>
        <w:rPr>
          <w:sz w:val="24"/>
        </w:rPr>
        <w:t>Un (01) rapport global de contribution des quatorze régions est soumis au Chef de l’</w:t>
      </w:r>
      <w:r w:rsidR="007F52CD">
        <w:rPr>
          <w:sz w:val="24"/>
        </w:rPr>
        <w:t>État</w:t>
      </w:r>
      <w:r>
        <w:rPr>
          <w:sz w:val="24"/>
        </w:rPr>
        <w:t>.</w:t>
      </w:r>
    </w:p>
    <w:p w:rsidR="00512DB5" w:rsidRPr="00512DB5" w:rsidRDefault="00512DB5" w:rsidP="00512DB5">
      <w:pPr>
        <w:spacing w:after="0" w:line="240" w:lineRule="auto"/>
        <w:rPr>
          <w:sz w:val="24"/>
        </w:rPr>
      </w:pPr>
    </w:p>
    <w:p w:rsidR="00664951" w:rsidRDefault="00664951" w:rsidP="00664951">
      <w:pPr>
        <w:pStyle w:val="Paragraphedeliste"/>
        <w:numPr>
          <w:ilvl w:val="0"/>
          <w:numId w:val="1"/>
        </w:numPr>
        <w:spacing w:after="0" w:line="240" w:lineRule="auto"/>
        <w:rPr>
          <w:b/>
          <w:sz w:val="24"/>
        </w:rPr>
      </w:pPr>
      <w:r w:rsidRPr="00664951">
        <w:rPr>
          <w:b/>
          <w:sz w:val="24"/>
        </w:rPr>
        <w:t>Méthodologie de conduite des fora</w:t>
      </w:r>
    </w:p>
    <w:p w:rsidR="00664951" w:rsidRDefault="00664951" w:rsidP="002658BE">
      <w:pPr>
        <w:spacing w:after="0" w:line="240" w:lineRule="auto"/>
        <w:ind w:left="1080"/>
        <w:rPr>
          <w:sz w:val="24"/>
        </w:rPr>
      </w:pPr>
    </w:p>
    <w:p w:rsidR="00512DB5" w:rsidRDefault="00441D27" w:rsidP="003946C3">
      <w:pPr>
        <w:spacing w:after="0" w:line="240" w:lineRule="auto"/>
        <w:jc w:val="both"/>
        <w:rPr>
          <w:sz w:val="24"/>
        </w:rPr>
      </w:pPr>
      <w:r>
        <w:rPr>
          <w:sz w:val="24"/>
        </w:rPr>
        <w:t>Les fora se tiendront sous la présidence des Gouverneur</w:t>
      </w:r>
      <w:r w:rsidR="00A9270C">
        <w:rPr>
          <w:sz w:val="24"/>
        </w:rPr>
        <w:t>s</w:t>
      </w:r>
      <w:r>
        <w:rPr>
          <w:sz w:val="24"/>
        </w:rPr>
        <w:t xml:space="preserve"> de région. Ils seront assistés d’un rapporteur (consultant) en charge de la production du </w:t>
      </w:r>
      <w:r w:rsidR="007F52CD">
        <w:rPr>
          <w:sz w:val="24"/>
        </w:rPr>
        <w:t>Procès-Verbal</w:t>
      </w:r>
      <w:r>
        <w:rPr>
          <w:sz w:val="24"/>
        </w:rPr>
        <w:t xml:space="preserve"> (PV) de la rencontre.</w:t>
      </w:r>
    </w:p>
    <w:p w:rsidR="00441D27" w:rsidRDefault="00441D27" w:rsidP="00322355">
      <w:pPr>
        <w:spacing w:after="0" w:line="240" w:lineRule="auto"/>
        <w:jc w:val="both"/>
        <w:rPr>
          <w:sz w:val="24"/>
        </w:rPr>
      </w:pPr>
      <w:r>
        <w:rPr>
          <w:sz w:val="24"/>
        </w:rPr>
        <w:t>Toutes les séances se déroulent en plénière. Une équipe a en charge l’animation de cette plénière.</w:t>
      </w:r>
    </w:p>
    <w:p w:rsidR="007C1F02" w:rsidRDefault="00512DB5" w:rsidP="007C1F02">
      <w:pPr>
        <w:pStyle w:val="Paragraphedeliste"/>
        <w:numPr>
          <w:ilvl w:val="1"/>
          <w:numId w:val="1"/>
        </w:numPr>
        <w:spacing w:after="0" w:line="240" w:lineRule="auto"/>
        <w:rPr>
          <w:b/>
          <w:sz w:val="24"/>
        </w:rPr>
      </w:pPr>
      <w:r w:rsidRPr="006A1EA2">
        <w:rPr>
          <w:b/>
          <w:sz w:val="24"/>
        </w:rPr>
        <w:lastRenderedPageBreak/>
        <w:t>L’équipe d’animation des Fora</w:t>
      </w:r>
    </w:p>
    <w:p w:rsidR="00322355" w:rsidRPr="003A7E3E" w:rsidRDefault="00322355" w:rsidP="00322355">
      <w:pPr>
        <w:pStyle w:val="Paragraphedeliste"/>
        <w:spacing w:after="0" w:line="240" w:lineRule="auto"/>
        <w:ind w:left="1440"/>
        <w:rPr>
          <w:b/>
          <w:sz w:val="24"/>
        </w:rPr>
      </w:pPr>
    </w:p>
    <w:p w:rsidR="00512DB5" w:rsidRDefault="007C1F02" w:rsidP="004561B2">
      <w:pPr>
        <w:spacing w:after="0" w:line="240" w:lineRule="auto"/>
        <w:jc w:val="both"/>
        <w:rPr>
          <w:sz w:val="24"/>
        </w:rPr>
      </w:pPr>
      <w:r>
        <w:rPr>
          <w:sz w:val="24"/>
        </w:rPr>
        <w:t xml:space="preserve">L’équipe d’animation des fora est composée des experts en provenance des institutions </w:t>
      </w:r>
      <w:r w:rsidR="00163E17">
        <w:rPr>
          <w:sz w:val="24"/>
        </w:rPr>
        <w:t>membres du cadre institutionnel</w:t>
      </w:r>
      <w:r>
        <w:rPr>
          <w:sz w:val="24"/>
        </w:rPr>
        <w:t xml:space="preserve"> </w:t>
      </w:r>
      <w:r w:rsidR="00163E17">
        <w:rPr>
          <w:sz w:val="24"/>
        </w:rPr>
        <w:t xml:space="preserve">en </w:t>
      </w:r>
      <w:r>
        <w:rPr>
          <w:sz w:val="24"/>
        </w:rPr>
        <w:t xml:space="preserve">charge </w:t>
      </w:r>
      <w:r w:rsidR="00163E17">
        <w:rPr>
          <w:sz w:val="24"/>
        </w:rPr>
        <w:t>du</w:t>
      </w:r>
      <w:r>
        <w:rPr>
          <w:sz w:val="24"/>
        </w:rPr>
        <w:t xml:space="preserve"> suivi évaluation de la politique </w:t>
      </w:r>
      <w:r w:rsidR="00163E17">
        <w:rPr>
          <w:sz w:val="24"/>
        </w:rPr>
        <w:t>parmi lesquelles</w:t>
      </w:r>
      <w:r>
        <w:rPr>
          <w:sz w:val="24"/>
        </w:rPr>
        <w:t> :</w:t>
      </w:r>
    </w:p>
    <w:p w:rsidR="007C1F02" w:rsidRDefault="007C1F02" w:rsidP="004561B2">
      <w:pPr>
        <w:pStyle w:val="Paragraphedeliste"/>
        <w:numPr>
          <w:ilvl w:val="0"/>
          <w:numId w:val="2"/>
        </w:numPr>
        <w:spacing w:after="0" w:line="240" w:lineRule="auto"/>
        <w:jc w:val="both"/>
        <w:rPr>
          <w:sz w:val="24"/>
        </w:rPr>
      </w:pPr>
      <w:r>
        <w:rPr>
          <w:sz w:val="24"/>
        </w:rPr>
        <w:t>Cos Petro Gaz</w:t>
      </w:r>
      <w:r w:rsidR="00D8371C">
        <w:rPr>
          <w:sz w:val="24"/>
        </w:rPr>
        <w:t> / GESPETROGAZ</w:t>
      </w:r>
    </w:p>
    <w:p w:rsidR="007C1F02" w:rsidRDefault="007C1F02" w:rsidP="004561B2">
      <w:pPr>
        <w:pStyle w:val="Paragraphedeliste"/>
        <w:numPr>
          <w:ilvl w:val="0"/>
          <w:numId w:val="2"/>
        </w:numPr>
        <w:spacing w:after="0" w:line="240" w:lineRule="auto"/>
        <w:jc w:val="both"/>
        <w:rPr>
          <w:sz w:val="24"/>
        </w:rPr>
      </w:pPr>
      <w:r>
        <w:rPr>
          <w:sz w:val="24"/>
        </w:rPr>
        <w:t>PETROSEN</w:t>
      </w:r>
    </w:p>
    <w:p w:rsidR="007C1F02" w:rsidRDefault="007C1F02" w:rsidP="004561B2">
      <w:pPr>
        <w:pStyle w:val="Paragraphedeliste"/>
        <w:numPr>
          <w:ilvl w:val="0"/>
          <w:numId w:val="2"/>
        </w:numPr>
        <w:spacing w:after="0" w:line="240" w:lineRule="auto"/>
        <w:jc w:val="both"/>
        <w:rPr>
          <w:sz w:val="24"/>
        </w:rPr>
      </w:pPr>
      <w:r>
        <w:rPr>
          <w:sz w:val="24"/>
        </w:rPr>
        <w:t>ITIE.</w:t>
      </w:r>
    </w:p>
    <w:p w:rsidR="007C1F02" w:rsidRPr="007C1F02" w:rsidRDefault="007C1F02" w:rsidP="004561B2">
      <w:pPr>
        <w:spacing w:after="0" w:line="240" w:lineRule="auto"/>
        <w:jc w:val="both"/>
        <w:rPr>
          <w:sz w:val="24"/>
        </w:rPr>
      </w:pPr>
      <w:r>
        <w:rPr>
          <w:sz w:val="24"/>
        </w:rPr>
        <w:t xml:space="preserve">Elle est accompagnée par </w:t>
      </w:r>
      <w:r w:rsidR="00D8371C">
        <w:rPr>
          <w:sz w:val="24"/>
        </w:rPr>
        <w:t>deux (02</w:t>
      </w:r>
      <w:r>
        <w:rPr>
          <w:sz w:val="24"/>
        </w:rPr>
        <w:t>) représentant de la société civile (AHDIS</w:t>
      </w:r>
      <w:r w:rsidR="00D8371C">
        <w:rPr>
          <w:sz w:val="24"/>
        </w:rPr>
        <w:t xml:space="preserve"> et CONGAD</w:t>
      </w:r>
      <w:r>
        <w:rPr>
          <w:sz w:val="24"/>
        </w:rPr>
        <w:t xml:space="preserve">) et un (01) Consultant en charge de produire </w:t>
      </w:r>
      <w:r w:rsidR="004561B2">
        <w:rPr>
          <w:sz w:val="24"/>
        </w:rPr>
        <w:t>les PV et le Rapport global final.</w:t>
      </w:r>
    </w:p>
    <w:p w:rsidR="00512DB5" w:rsidRPr="00512DB5" w:rsidRDefault="00512DB5" w:rsidP="00512DB5">
      <w:pPr>
        <w:spacing w:after="0" w:line="240" w:lineRule="auto"/>
        <w:rPr>
          <w:sz w:val="24"/>
        </w:rPr>
      </w:pPr>
    </w:p>
    <w:p w:rsidR="00512DB5" w:rsidRPr="006A1EA2" w:rsidRDefault="00512DB5" w:rsidP="00512DB5">
      <w:pPr>
        <w:pStyle w:val="Paragraphedeliste"/>
        <w:numPr>
          <w:ilvl w:val="1"/>
          <w:numId w:val="1"/>
        </w:numPr>
        <w:spacing w:after="0" w:line="240" w:lineRule="auto"/>
        <w:rPr>
          <w:b/>
          <w:sz w:val="24"/>
        </w:rPr>
      </w:pPr>
      <w:r w:rsidRPr="006A1EA2">
        <w:rPr>
          <w:b/>
          <w:sz w:val="24"/>
        </w:rPr>
        <w:t>L’animation des sessions</w:t>
      </w:r>
    </w:p>
    <w:p w:rsidR="00512DB5" w:rsidRDefault="00512DB5" w:rsidP="00512DB5">
      <w:pPr>
        <w:pStyle w:val="Paragraphedeliste"/>
        <w:spacing w:after="0" w:line="240" w:lineRule="auto"/>
        <w:ind w:left="1440"/>
        <w:rPr>
          <w:sz w:val="24"/>
        </w:rPr>
      </w:pPr>
    </w:p>
    <w:p w:rsidR="00512DB5" w:rsidRDefault="00A9270C" w:rsidP="00512DB5">
      <w:pPr>
        <w:spacing w:after="0" w:line="240" w:lineRule="auto"/>
        <w:rPr>
          <w:sz w:val="24"/>
        </w:rPr>
      </w:pPr>
      <w:r>
        <w:rPr>
          <w:sz w:val="24"/>
        </w:rPr>
        <w:t xml:space="preserve">La session </w:t>
      </w:r>
      <w:r w:rsidR="001D7B87">
        <w:rPr>
          <w:sz w:val="24"/>
        </w:rPr>
        <w:t>se déroule en</w:t>
      </w:r>
      <w:r>
        <w:rPr>
          <w:sz w:val="24"/>
        </w:rPr>
        <w:t xml:space="preserve"> </w:t>
      </w:r>
      <w:r w:rsidR="006A1EA2">
        <w:rPr>
          <w:sz w:val="24"/>
        </w:rPr>
        <w:t>trois</w:t>
      </w:r>
      <w:r>
        <w:rPr>
          <w:sz w:val="24"/>
        </w:rPr>
        <w:t xml:space="preserve"> moments :</w:t>
      </w:r>
    </w:p>
    <w:p w:rsidR="00A9270C" w:rsidRDefault="00A9270C" w:rsidP="00512DB5">
      <w:pPr>
        <w:spacing w:after="0" w:line="240" w:lineRule="auto"/>
        <w:rPr>
          <w:sz w:val="24"/>
        </w:rPr>
      </w:pPr>
    </w:p>
    <w:p w:rsidR="00A9270C" w:rsidRPr="001D7B87" w:rsidRDefault="00A9270C" w:rsidP="00512DB5">
      <w:pPr>
        <w:spacing w:after="0" w:line="240" w:lineRule="auto"/>
        <w:rPr>
          <w:b/>
          <w:sz w:val="24"/>
        </w:rPr>
      </w:pPr>
      <w:r w:rsidRPr="001D7B87">
        <w:rPr>
          <w:b/>
          <w:sz w:val="24"/>
        </w:rPr>
        <w:t>A. La Cérémonie d’ouverture</w:t>
      </w:r>
    </w:p>
    <w:p w:rsidR="00A9270C" w:rsidRDefault="00A9270C" w:rsidP="00512DB5">
      <w:pPr>
        <w:spacing w:after="0" w:line="240" w:lineRule="auto"/>
        <w:rPr>
          <w:sz w:val="24"/>
        </w:rPr>
      </w:pPr>
    </w:p>
    <w:p w:rsidR="00A9270C" w:rsidRDefault="00A9270C" w:rsidP="00A9270C">
      <w:pPr>
        <w:pStyle w:val="Paragraphedeliste"/>
        <w:numPr>
          <w:ilvl w:val="0"/>
          <w:numId w:val="3"/>
        </w:numPr>
        <w:spacing w:after="0" w:line="240" w:lineRule="auto"/>
        <w:rPr>
          <w:sz w:val="24"/>
        </w:rPr>
      </w:pPr>
      <w:r w:rsidRPr="00A9270C">
        <w:rPr>
          <w:sz w:val="24"/>
        </w:rPr>
        <w:t>Le mot de bienvenue du représentant des élus</w:t>
      </w:r>
      <w:r>
        <w:rPr>
          <w:sz w:val="24"/>
        </w:rPr>
        <w:t xml:space="preserve"> (05mn)</w:t>
      </w:r>
    </w:p>
    <w:p w:rsidR="00A9270C" w:rsidRDefault="00A9270C" w:rsidP="00A9270C">
      <w:pPr>
        <w:pStyle w:val="Paragraphedeliste"/>
        <w:numPr>
          <w:ilvl w:val="0"/>
          <w:numId w:val="3"/>
        </w:numPr>
        <w:spacing w:after="0" w:line="240" w:lineRule="auto"/>
        <w:rPr>
          <w:sz w:val="24"/>
        </w:rPr>
      </w:pPr>
      <w:r>
        <w:rPr>
          <w:sz w:val="24"/>
        </w:rPr>
        <w:t>Le mot du représentant du mécanisme de suivi (</w:t>
      </w:r>
      <w:r w:rsidR="00D8371C">
        <w:rPr>
          <w:sz w:val="24"/>
        </w:rPr>
        <w:t>GESPETROGAZ /</w:t>
      </w:r>
      <w:r>
        <w:rPr>
          <w:sz w:val="24"/>
        </w:rPr>
        <w:t>Cos Petro Gaz) (05mn)</w:t>
      </w:r>
    </w:p>
    <w:p w:rsidR="00A9270C" w:rsidRDefault="00A9270C" w:rsidP="00A9270C">
      <w:pPr>
        <w:pStyle w:val="Paragraphedeliste"/>
        <w:numPr>
          <w:ilvl w:val="0"/>
          <w:numId w:val="3"/>
        </w:numPr>
        <w:spacing w:after="0" w:line="240" w:lineRule="auto"/>
        <w:rPr>
          <w:sz w:val="24"/>
        </w:rPr>
      </w:pPr>
      <w:r>
        <w:rPr>
          <w:sz w:val="24"/>
        </w:rPr>
        <w:t>Le mot du représentant de la société civile accompagnante (05mn)</w:t>
      </w:r>
    </w:p>
    <w:p w:rsidR="00A9270C" w:rsidRDefault="00A9270C" w:rsidP="00A9270C">
      <w:pPr>
        <w:pStyle w:val="Paragraphedeliste"/>
        <w:numPr>
          <w:ilvl w:val="0"/>
          <w:numId w:val="3"/>
        </w:numPr>
        <w:spacing w:after="0" w:line="240" w:lineRule="auto"/>
        <w:rPr>
          <w:sz w:val="24"/>
        </w:rPr>
      </w:pPr>
      <w:r>
        <w:rPr>
          <w:sz w:val="24"/>
        </w:rPr>
        <w:t>Le discours d’ouverture du Gouverneur.</w:t>
      </w:r>
    </w:p>
    <w:p w:rsidR="00A9270C" w:rsidRPr="00A9270C" w:rsidRDefault="00A9270C" w:rsidP="00A9270C">
      <w:pPr>
        <w:pStyle w:val="Paragraphedeliste"/>
        <w:spacing w:after="0" w:line="240" w:lineRule="auto"/>
        <w:rPr>
          <w:sz w:val="24"/>
        </w:rPr>
      </w:pPr>
    </w:p>
    <w:p w:rsidR="00A9270C" w:rsidRPr="001D7B87" w:rsidRDefault="00A9270C" w:rsidP="00512DB5">
      <w:pPr>
        <w:spacing w:after="0" w:line="240" w:lineRule="auto"/>
        <w:rPr>
          <w:b/>
          <w:sz w:val="24"/>
        </w:rPr>
      </w:pPr>
      <w:r w:rsidRPr="001D7B87">
        <w:rPr>
          <w:b/>
          <w:sz w:val="24"/>
        </w:rPr>
        <w:t>B. Les Présentations</w:t>
      </w:r>
    </w:p>
    <w:p w:rsidR="00A9270C" w:rsidRPr="001D7B87" w:rsidRDefault="00A9270C" w:rsidP="00512DB5">
      <w:pPr>
        <w:spacing w:after="0" w:line="240" w:lineRule="auto"/>
        <w:rPr>
          <w:b/>
          <w:sz w:val="24"/>
        </w:rPr>
      </w:pPr>
    </w:p>
    <w:p w:rsidR="00A20C1F" w:rsidRDefault="00A20C1F" w:rsidP="001D7B87">
      <w:pPr>
        <w:spacing w:after="0" w:line="240" w:lineRule="auto"/>
        <w:jc w:val="both"/>
        <w:rPr>
          <w:sz w:val="24"/>
        </w:rPr>
      </w:pPr>
      <w:r>
        <w:rPr>
          <w:sz w:val="24"/>
        </w:rPr>
        <w:t xml:space="preserve">Les contenus des présentations tourneront essentiellement sur </w:t>
      </w:r>
      <w:r w:rsidR="001D7B87">
        <w:rPr>
          <w:sz w:val="24"/>
        </w:rPr>
        <w:t xml:space="preserve">ceux de la journée nationale de concertation au Centre de Conférence International Abdou Diouf de </w:t>
      </w:r>
      <w:proofErr w:type="spellStart"/>
      <w:r w:rsidR="001D7B87">
        <w:rPr>
          <w:sz w:val="24"/>
        </w:rPr>
        <w:t>Diamniadio</w:t>
      </w:r>
      <w:proofErr w:type="spellEnd"/>
      <w:r>
        <w:rPr>
          <w:sz w:val="24"/>
        </w:rPr>
        <w:t xml:space="preserve"> </w:t>
      </w:r>
      <w:r w:rsidR="001D7B87">
        <w:rPr>
          <w:sz w:val="24"/>
        </w:rPr>
        <w:t>(CCIAD) et porteront globalement sur l’état des lieux de la ressource « pétrole et gaz » ainsi que sur les défis  et enjeux de la gestion (exploration, exploitation et commercialisation).</w:t>
      </w:r>
    </w:p>
    <w:p w:rsidR="001D7B87" w:rsidRDefault="001D7B87" w:rsidP="001D7B87">
      <w:pPr>
        <w:spacing w:after="0" w:line="240" w:lineRule="auto"/>
        <w:jc w:val="both"/>
        <w:rPr>
          <w:sz w:val="24"/>
        </w:rPr>
      </w:pPr>
    </w:p>
    <w:p w:rsidR="001D7B87" w:rsidRDefault="001D7B87" w:rsidP="00512DB5">
      <w:pPr>
        <w:spacing w:after="0" w:line="240" w:lineRule="auto"/>
        <w:rPr>
          <w:sz w:val="24"/>
        </w:rPr>
      </w:pPr>
      <w:r>
        <w:rPr>
          <w:sz w:val="24"/>
        </w:rPr>
        <w:t xml:space="preserve">Trois experts venant des institutions suivantes se chargeront des présentations : </w:t>
      </w:r>
    </w:p>
    <w:p w:rsidR="00401716" w:rsidRDefault="00401716" w:rsidP="00512DB5">
      <w:pPr>
        <w:spacing w:after="0" w:line="240" w:lineRule="auto"/>
        <w:rPr>
          <w:sz w:val="24"/>
        </w:rPr>
      </w:pPr>
    </w:p>
    <w:p w:rsidR="00A9270C" w:rsidRDefault="00A9270C" w:rsidP="00A9270C">
      <w:pPr>
        <w:pStyle w:val="Paragraphedeliste"/>
        <w:numPr>
          <w:ilvl w:val="0"/>
          <w:numId w:val="3"/>
        </w:numPr>
        <w:spacing w:after="0" w:line="240" w:lineRule="auto"/>
        <w:rPr>
          <w:sz w:val="24"/>
        </w:rPr>
      </w:pPr>
      <w:r>
        <w:rPr>
          <w:sz w:val="24"/>
        </w:rPr>
        <w:t>Le représentant de COS Petro Gaz</w:t>
      </w:r>
      <w:r w:rsidR="00895BA1">
        <w:rPr>
          <w:sz w:val="24"/>
        </w:rPr>
        <w:t xml:space="preserve"> </w:t>
      </w:r>
      <w:r w:rsidR="00D8371C">
        <w:rPr>
          <w:sz w:val="24"/>
        </w:rPr>
        <w:t xml:space="preserve">/ GESPETROGAZ </w:t>
      </w:r>
      <w:r w:rsidR="00895BA1">
        <w:rPr>
          <w:sz w:val="24"/>
        </w:rPr>
        <w:t xml:space="preserve">(Présidence de la République) </w:t>
      </w:r>
      <w:r w:rsidR="00D8371C">
        <w:rPr>
          <w:sz w:val="24"/>
        </w:rPr>
        <w:t>(MPE)</w:t>
      </w:r>
    </w:p>
    <w:p w:rsidR="00A9270C" w:rsidRDefault="00A9270C" w:rsidP="00A9270C">
      <w:pPr>
        <w:pStyle w:val="Paragraphedeliste"/>
        <w:numPr>
          <w:ilvl w:val="0"/>
          <w:numId w:val="3"/>
        </w:numPr>
        <w:spacing w:after="0" w:line="240" w:lineRule="auto"/>
        <w:rPr>
          <w:sz w:val="24"/>
        </w:rPr>
      </w:pPr>
      <w:r>
        <w:rPr>
          <w:sz w:val="24"/>
        </w:rPr>
        <w:t>Le représentant de PETROSEN</w:t>
      </w:r>
      <w:r w:rsidR="00895BA1">
        <w:rPr>
          <w:sz w:val="24"/>
        </w:rPr>
        <w:t xml:space="preserve"> (Gouvernement : Ministère du pétrole et des </w:t>
      </w:r>
      <w:r w:rsidR="007F52CD">
        <w:rPr>
          <w:sz w:val="24"/>
        </w:rPr>
        <w:t>Énergies</w:t>
      </w:r>
      <w:r w:rsidR="00895BA1">
        <w:rPr>
          <w:sz w:val="24"/>
        </w:rPr>
        <w:t>)</w:t>
      </w:r>
    </w:p>
    <w:p w:rsidR="00A9270C" w:rsidRDefault="00A9270C" w:rsidP="00A9270C">
      <w:pPr>
        <w:pStyle w:val="Paragraphedeliste"/>
        <w:numPr>
          <w:ilvl w:val="0"/>
          <w:numId w:val="3"/>
        </w:numPr>
        <w:spacing w:after="0" w:line="240" w:lineRule="auto"/>
        <w:rPr>
          <w:sz w:val="24"/>
        </w:rPr>
      </w:pPr>
      <w:r>
        <w:rPr>
          <w:sz w:val="24"/>
        </w:rPr>
        <w:t>Le représentant de l’ITIE</w:t>
      </w:r>
      <w:r w:rsidR="0011559B">
        <w:rPr>
          <w:sz w:val="24"/>
        </w:rPr>
        <w:t xml:space="preserve"> (Présidence de la République)</w:t>
      </w:r>
      <w:r w:rsidR="001D7B87">
        <w:rPr>
          <w:sz w:val="24"/>
        </w:rPr>
        <w:t>.</w:t>
      </w:r>
    </w:p>
    <w:p w:rsidR="0011559B" w:rsidRPr="00715A19" w:rsidRDefault="0011559B" w:rsidP="00715A19">
      <w:pPr>
        <w:spacing w:after="0" w:line="240" w:lineRule="auto"/>
        <w:rPr>
          <w:sz w:val="24"/>
        </w:rPr>
      </w:pPr>
    </w:p>
    <w:p w:rsidR="001D7B87" w:rsidRPr="001D7B87" w:rsidRDefault="001D7B87" w:rsidP="001D7B87">
      <w:pPr>
        <w:spacing w:after="0" w:line="240" w:lineRule="auto"/>
        <w:rPr>
          <w:sz w:val="24"/>
        </w:rPr>
      </w:pPr>
      <w:r>
        <w:rPr>
          <w:sz w:val="24"/>
        </w:rPr>
        <w:t>Toutes les présentations se feront par projection vidéo.</w:t>
      </w:r>
    </w:p>
    <w:p w:rsidR="00A9270C" w:rsidRDefault="00A9270C" w:rsidP="00A9270C">
      <w:pPr>
        <w:spacing w:after="0" w:line="240" w:lineRule="auto"/>
        <w:rPr>
          <w:sz w:val="24"/>
        </w:rPr>
      </w:pPr>
    </w:p>
    <w:p w:rsidR="00A9270C" w:rsidRPr="001D7B87" w:rsidRDefault="006A1EA2" w:rsidP="00A9270C">
      <w:pPr>
        <w:spacing w:after="0" w:line="240" w:lineRule="auto"/>
        <w:rPr>
          <w:b/>
          <w:sz w:val="24"/>
        </w:rPr>
      </w:pPr>
      <w:r w:rsidRPr="001D7B87">
        <w:rPr>
          <w:b/>
          <w:sz w:val="24"/>
        </w:rPr>
        <w:t>C. Les discussions générales, la Synthèse et la Clôture</w:t>
      </w:r>
    </w:p>
    <w:p w:rsidR="00A9270C" w:rsidRDefault="00A9270C" w:rsidP="00A9270C">
      <w:pPr>
        <w:spacing w:after="0" w:line="240" w:lineRule="auto"/>
        <w:rPr>
          <w:sz w:val="24"/>
        </w:rPr>
      </w:pPr>
    </w:p>
    <w:p w:rsidR="00A9270C" w:rsidRDefault="00A9270C" w:rsidP="00A9270C">
      <w:pPr>
        <w:pStyle w:val="Paragraphedeliste"/>
        <w:numPr>
          <w:ilvl w:val="0"/>
          <w:numId w:val="4"/>
        </w:numPr>
        <w:spacing w:after="0" w:line="240" w:lineRule="auto"/>
        <w:rPr>
          <w:sz w:val="24"/>
        </w:rPr>
      </w:pPr>
      <w:r>
        <w:rPr>
          <w:sz w:val="24"/>
        </w:rPr>
        <w:t>Participants</w:t>
      </w:r>
    </w:p>
    <w:p w:rsidR="00A9270C" w:rsidRDefault="00A9270C" w:rsidP="00A9270C">
      <w:pPr>
        <w:pStyle w:val="Paragraphedeliste"/>
        <w:numPr>
          <w:ilvl w:val="0"/>
          <w:numId w:val="4"/>
        </w:numPr>
        <w:spacing w:after="0" w:line="240" w:lineRule="auto"/>
        <w:rPr>
          <w:sz w:val="24"/>
        </w:rPr>
      </w:pPr>
      <w:r>
        <w:rPr>
          <w:sz w:val="24"/>
        </w:rPr>
        <w:t>Synthèse générale et clôture (Gouverneur).</w:t>
      </w:r>
    </w:p>
    <w:p w:rsidR="006A1EA2" w:rsidRDefault="006A1EA2" w:rsidP="006A1EA2">
      <w:pPr>
        <w:spacing w:after="0" w:line="240" w:lineRule="auto"/>
        <w:rPr>
          <w:sz w:val="24"/>
        </w:rPr>
      </w:pPr>
    </w:p>
    <w:p w:rsidR="006A1EA2" w:rsidRDefault="006A1EA2" w:rsidP="006A1EA2">
      <w:pPr>
        <w:spacing w:after="0" w:line="240" w:lineRule="auto"/>
        <w:jc w:val="both"/>
        <w:rPr>
          <w:sz w:val="24"/>
        </w:rPr>
      </w:pPr>
      <w:r>
        <w:rPr>
          <w:sz w:val="24"/>
        </w:rPr>
        <w:t>L’animation des foras aura une durée évaluée en fonction du volume des interventions. Huit heures sont prévues par session et par région. Une pause déjeuner et une pause prière sont prévues entre 13h et 14h 15mn durant le forum.</w:t>
      </w:r>
    </w:p>
    <w:p w:rsidR="00BA6976" w:rsidRDefault="00BA6976" w:rsidP="00BA6976">
      <w:pPr>
        <w:spacing w:after="0" w:line="240" w:lineRule="auto"/>
        <w:rPr>
          <w:sz w:val="24"/>
        </w:rPr>
      </w:pPr>
    </w:p>
    <w:p w:rsidR="009E0636" w:rsidRPr="002658BE" w:rsidRDefault="009E0636" w:rsidP="00BA6976">
      <w:pPr>
        <w:spacing w:after="0" w:line="240" w:lineRule="auto"/>
        <w:rPr>
          <w:sz w:val="24"/>
        </w:rPr>
      </w:pPr>
    </w:p>
    <w:p w:rsidR="00664951" w:rsidRDefault="00664951" w:rsidP="00664951">
      <w:pPr>
        <w:pStyle w:val="Paragraphedeliste"/>
        <w:numPr>
          <w:ilvl w:val="0"/>
          <w:numId w:val="1"/>
        </w:numPr>
        <w:spacing w:after="0" w:line="240" w:lineRule="auto"/>
        <w:rPr>
          <w:b/>
          <w:sz w:val="24"/>
        </w:rPr>
      </w:pPr>
      <w:r w:rsidRPr="00664951">
        <w:rPr>
          <w:b/>
          <w:sz w:val="24"/>
        </w:rPr>
        <w:t>Agenda du déroulement des fora</w:t>
      </w:r>
    </w:p>
    <w:p w:rsidR="00664951" w:rsidRPr="002658BE" w:rsidRDefault="00664951" w:rsidP="002658BE">
      <w:pPr>
        <w:spacing w:after="0" w:line="240" w:lineRule="auto"/>
        <w:ind w:left="1080"/>
        <w:rPr>
          <w:sz w:val="24"/>
        </w:rPr>
      </w:pPr>
    </w:p>
    <w:p w:rsidR="00512DB5" w:rsidRDefault="00512DB5" w:rsidP="00B93E60">
      <w:pPr>
        <w:spacing w:after="0" w:line="240" w:lineRule="auto"/>
        <w:jc w:val="both"/>
        <w:rPr>
          <w:sz w:val="24"/>
        </w:rPr>
      </w:pPr>
      <w:r>
        <w:rPr>
          <w:sz w:val="24"/>
        </w:rPr>
        <w:t>La campagne aura lieu dans toutes les régions du pays</w:t>
      </w:r>
      <w:r w:rsidR="00B93E60">
        <w:rPr>
          <w:sz w:val="24"/>
        </w:rPr>
        <w:t xml:space="preserve"> et pourrait se déroulait en trois étapes :</w:t>
      </w:r>
    </w:p>
    <w:p w:rsidR="00B93E60" w:rsidRDefault="007F52CD" w:rsidP="00B93E60">
      <w:pPr>
        <w:pStyle w:val="Paragraphedeliste"/>
        <w:numPr>
          <w:ilvl w:val="0"/>
          <w:numId w:val="2"/>
        </w:numPr>
        <w:spacing w:after="0" w:line="240" w:lineRule="auto"/>
        <w:jc w:val="both"/>
        <w:rPr>
          <w:sz w:val="24"/>
        </w:rPr>
      </w:pPr>
      <w:r w:rsidRPr="00B93E60">
        <w:rPr>
          <w:sz w:val="24"/>
        </w:rPr>
        <w:t>Étape</w:t>
      </w:r>
      <w:r w:rsidR="00B93E60" w:rsidRPr="00B93E60">
        <w:rPr>
          <w:sz w:val="24"/>
        </w:rPr>
        <w:t xml:space="preserve"> N°1 : Thiès, Louga, Saint Lou</w:t>
      </w:r>
      <w:r w:rsidR="00B93E60">
        <w:rPr>
          <w:sz w:val="24"/>
        </w:rPr>
        <w:t>is et Matam ;</w:t>
      </w:r>
    </w:p>
    <w:p w:rsidR="00B93E60" w:rsidRDefault="00B93E60" w:rsidP="00B93E60">
      <w:pPr>
        <w:pStyle w:val="Paragraphedeliste"/>
        <w:numPr>
          <w:ilvl w:val="0"/>
          <w:numId w:val="2"/>
        </w:numPr>
        <w:spacing w:after="0" w:line="240" w:lineRule="auto"/>
        <w:jc w:val="both"/>
        <w:rPr>
          <w:sz w:val="24"/>
          <w:lang w:val="en-US"/>
        </w:rPr>
      </w:pPr>
      <w:proofErr w:type="spellStart"/>
      <w:r w:rsidRPr="00B93E60">
        <w:rPr>
          <w:sz w:val="24"/>
          <w:lang w:val="en-US"/>
        </w:rPr>
        <w:t>Etape</w:t>
      </w:r>
      <w:proofErr w:type="spellEnd"/>
      <w:r w:rsidRPr="00B93E60">
        <w:rPr>
          <w:sz w:val="24"/>
          <w:lang w:val="en-US"/>
        </w:rPr>
        <w:t xml:space="preserve"> N°2 : </w:t>
      </w:r>
      <w:proofErr w:type="spellStart"/>
      <w:r w:rsidRPr="00B93E60">
        <w:rPr>
          <w:sz w:val="24"/>
          <w:lang w:val="en-US"/>
        </w:rPr>
        <w:t>Diourbel</w:t>
      </w:r>
      <w:proofErr w:type="spellEnd"/>
      <w:r w:rsidRPr="00B93E60">
        <w:rPr>
          <w:sz w:val="24"/>
          <w:lang w:val="en-US"/>
        </w:rPr>
        <w:t xml:space="preserve">, </w:t>
      </w:r>
      <w:proofErr w:type="spellStart"/>
      <w:r w:rsidRPr="00B93E60">
        <w:rPr>
          <w:sz w:val="24"/>
          <w:lang w:val="en-US"/>
        </w:rPr>
        <w:t>Fatick</w:t>
      </w:r>
      <w:proofErr w:type="spellEnd"/>
      <w:r w:rsidRPr="00B93E60">
        <w:rPr>
          <w:sz w:val="24"/>
          <w:lang w:val="en-US"/>
        </w:rPr>
        <w:t xml:space="preserve">, </w:t>
      </w:r>
      <w:proofErr w:type="spellStart"/>
      <w:r w:rsidRPr="00B93E60">
        <w:rPr>
          <w:sz w:val="24"/>
          <w:lang w:val="en-US"/>
        </w:rPr>
        <w:t>K</w:t>
      </w:r>
      <w:r>
        <w:rPr>
          <w:sz w:val="24"/>
          <w:lang w:val="en-US"/>
        </w:rPr>
        <w:t>alolack</w:t>
      </w:r>
      <w:proofErr w:type="spellEnd"/>
      <w:r>
        <w:rPr>
          <w:sz w:val="24"/>
          <w:lang w:val="en-US"/>
        </w:rPr>
        <w:t xml:space="preserve"> et Kaffrine;</w:t>
      </w:r>
    </w:p>
    <w:p w:rsidR="00B93E60" w:rsidRDefault="00B93E60" w:rsidP="00B93E60">
      <w:pPr>
        <w:pStyle w:val="Paragraphedeliste"/>
        <w:numPr>
          <w:ilvl w:val="0"/>
          <w:numId w:val="2"/>
        </w:numPr>
        <w:spacing w:after="0" w:line="240" w:lineRule="auto"/>
        <w:jc w:val="both"/>
        <w:rPr>
          <w:sz w:val="24"/>
          <w:lang w:val="en-US"/>
        </w:rPr>
      </w:pPr>
      <w:proofErr w:type="spellStart"/>
      <w:r>
        <w:rPr>
          <w:sz w:val="24"/>
          <w:lang w:val="en-US"/>
        </w:rPr>
        <w:t>Etape</w:t>
      </w:r>
      <w:proofErr w:type="spellEnd"/>
      <w:r>
        <w:rPr>
          <w:sz w:val="24"/>
          <w:lang w:val="en-US"/>
        </w:rPr>
        <w:t xml:space="preserve"> N°3: </w:t>
      </w:r>
      <w:proofErr w:type="spellStart"/>
      <w:r>
        <w:rPr>
          <w:sz w:val="24"/>
          <w:lang w:val="en-US"/>
        </w:rPr>
        <w:t>Tambacounda</w:t>
      </w:r>
      <w:proofErr w:type="spellEnd"/>
      <w:r>
        <w:rPr>
          <w:sz w:val="24"/>
          <w:lang w:val="en-US"/>
        </w:rPr>
        <w:t xml:space="preserve">, </w:t>
      </w:r>
      <w:proofErr w:type="spellStart"/>
      <w:r>
        <w:rPr>
          <w:sz w:val="24"/>
          <w:lang w:val="en-US"/>
        </w:rPr>
        <w:t>Kédougou</w:t>
      </w:r>
      <w:proofErr w:type="spellEnd"/>
      <w:r>
        <w:rPr>
          <w:sz w:val="24"/>
          <w:lang w:val="en-US"/>
        </w:rPr>
        <w:t xml:space="preserve">, </w:t>
      </w:r>
      <w:proofErr w:type="spellStart"/>
      <w:r>
        <w:rPr>
          <w:sz w:val="24"/>
          <w:lang w:val="en-US"/>
        </w:rPr>
        <w:t>Kolda</w:t>
      </w:r>
      <w:proofErr w:type="spellEnd"/>
      <w:r>
        <w:rPr>
          <w:sz w:val="24"/>
          <w:lang w:val="en-US"/>
        </w:rPr>
        <w:t xml:space="preserve">, </w:t>
      </w:r>
      <w:proofErr w:type="spellStart"/>
      <w:r>
        <w:rPr>
          <w:sz w:val="24"/>
          <w:lang w:val="en-US"/>
        </w:rPr>
        <w:t>Sédhiou</w:t>
      </w:r>
      <w:proofErr w:type="spellEnd"/>
      <w:r>
        <w:rPr>
          <w:sz w:val="24"/>
          <w:lang w:val="en-US"/>
        </w:rPr>
        <w:t xml:space="preserve"> et </w:t>
      </w:r>
      <w:proofErr w:type="spellStart"/>
      <w:r>
        <w:rPr>
          <w:sz w:val="24"/>
          <w:lang w:val="en-US"/>
        </w:rPr>
        <w:t>Ziguinchor</w:t>
      </w:r>
      <w:proofErr w:type="spellEnd"/>
      <w:r>
        <w:rPr>
          <w:sz w:val="24"/>
          <w:lang w:val="en-US"/>
        </w:rPr>
        <w:t>.</w:t>
      </w:r>
    </w:p>
    <w:p w:rsidR="00B93E60" w:rsidRPr="00B93E60" w:rsidRDefault="00B93E60" w:rsidP="00B93E60">
      <w:pPr>
        <w:spacing w:after="0" w:line="240" w:lineRule="auto"/>
        <w:jc w:val="both"/>
        <w:rPr>
          <w:sz w:val="24"/>
          <w:lang w:val="en-US"/>
        </w:rPr>
      </w:pPr>
    </w:p>
    <w:p w:rsidR="00B93E60" w:rsidRDefault="00B93E60" w:rsidP="00B93E60">
      <w:pPr>
        <w:spacing w:after="0" w:line="240" w:lineRule="auto"/>
        <w:jc w:val="both"/>
        <w:rPr>
          <w:sz w:val="24"/>
        </w:rPr>
      </w:pPr>
      <w:r w:rsidRPr="009A22B7">
        <w:rPr>
          <w:b/>
          <w:sz w:val="24"/>
        </w:rPr>
        <w:t>La première semaine</w:t>
      </w:r>
      <w:r w:rsidRPr="00B93E60">
        <w:rPr>
          <w:sz w:val="24"/>
        </w:rPr>
        <w:t xml:space="preserve"> de d</w:t>
      </w:r>
      <w:r>
        <w:rPr>
          <w:sz w:val="24"/>
        </w:rPr>
        <w:t>émarrage concernera les régions de la première étape :</w:t>
      </w:r>
    </w:p>
    <w:p w:rsidR="009A22B7" w:rsidRDefault="009A22B7" w:rsidP="00B93E60">
      <w:pPr>
        <w:spacing w:after="0" w:line="240" w:lineRule="auto"/>
        <w:jc w:val="both"/>
        <w:rPr>
          <w:sz w:val="24"/>
        </w:rPr>
      </w:pPr>
    </w:p>
    <w:p w:rsidR="00B93E60" w:rsidRDefault="00B93E60" w:rsidP="00B93E60">
      <w:pPr>
        <w:spacing w:after="0" w:line="240" w:lineRule="auto"/>
        <w:jc w:val="both"/>
        <w:rPr>
          <w:sz w:val="24"/>
        </w:rPr>
      </w:pPr>
      <w:r>
        <w:rPr>
          <w:sz w:val="24"/>
        </w:rPr>
        <w:t>Jour 1 : Voyage</w:t>
      </w:r>
      <w:r w:rsidR="009A22B7">
        <w:rPr>
          <w:sz w:val="24"/>
        </w:rPr>
        <w:t xml:space="preserve"> sur Thiès (Dimanche)</w:t>
      </w:r>
    </w:p>
    <w:p w:rsidR="00B93E60" w:rsidRDefault="00B93E60" w:rsidP="00B93E60">
      <w:pPr>
        <w:spacing w:after="0" w:line="240" w:lineRule="auto"/>
        <w:jc w:val="both"/>
        <w:rPr>
          <w:sz w:val="24"/>
        </w:rPr>
      </w:pPr>
      <w:r>
        <w:rPr>
          <w:sz w:val="24"/>
        </w:rPr>
        <w:t>Jour 2 : Thiès</w:t>
      </w:r>
    </w:p>
    <w:p w:rsidR="00B93E60" w:rsidRDefault="00B93E60" w:rsidP="00B93E60">
      <w:pPr>
        <w:spacing w:after="0" w:line="240" w:lineRule="auto"/>
        <w:jc w:val="both"/>
        <w:rPr>
          <w:sz w:val="24"/>
        </w:rPr>
      </w:pPr>
      <w:r>
        <w:rPr>
          <w:sz w:val="24"/>
        </w:rPr>
        <w:t>Jour 3 : Louga</w:t>
      </w:r>
    </w:p>
    <w:p w:rsidR="00B93E60" w:rsidRDefault="00B93E60" w:rsidP="00B93E60">
      <w:pPr>
        <w:spacing w:after="0" w:line="240" w:lineRule="auto"/>
        <w:jc w:val="both"/>
        <w:rPr>
          <w:sz w:val="24"/>
        </w:rPr>
      </w:pPr>
      <w:r>
        <w:rPr>
          <w:sz w:val="24"/>
        </w:rPr>
        <w:t>Jour 4 : Saint Louis</w:t>
      </w:r>
    </w:p>
    <w:p w:rsidR="00B93E60" w:rsidRDefault="00B93E60" w:rsidP="00B93E60">
      <w:pPr>
        <w:spacing w:after="0" w:line="240" w:lineRule="auto"/>
        <w:jc w:val="both"/>
        <w:rPr>
          <w:sz w:val="24"/>
        </w:rPr>
      </w:pPr>
      <w:r>
        <w:rPr>
          <w:sz w:val="24"/>
        </w:rPr>
        <w:t xml:space="preserve">Jour 5 : </w:t>
      </w:r>
      <w:r w:rsidR="009A22B7">
        <w:rPr>
          <w:sz w:val="24"/>
        </w:rPr>
        <w:t>Voyage sur Matam</w:t>
      </w:r>
    </w:p>
    <w:p w:rsidR="009A22B7" w:rsidRDefault="009A22B7" w:rsidP="00B93E60">
      <w:pPr>
        <w:spacing w:after="0" w:line="240" w:lineRule="auto"/>
        <w:jc w:val="both"/>
        <w:rPr>
          <w:sz w:val="24"/>
        </w:rPr>
      </w:pPr>
      <w:r>
        <w:rPr>
          <w:sz w:val="24"/>
        </w:rPr>
        <w:t>Jour 6 : Matam</w:t>
      </w:r>
    </w:p>
    <w:p w:rsidR="009A22B7" w:rsidRDefault="009A22B7" w:rsidP="00B93E60">
      <w:pPr>
        <w:spacing w:after="0" w:line="240" w:lineRule="auto"/>
        <w:jc w:val="both"/>
        <w:rPr>
          <w:sz w:val="24"/>
        </w:rPr>
      </w:pPr>
      <w:r>
        <w:rPr>
          <w:sz w:val="24"/>
        </w:rPr>
        <w:t>Jour 7 : Voyage retour sur Dakar (Samedi).</w:t>
      </w:r>
    </w:p>
    <w:p w:rsidR="009A22B7" w:rsidRDefault="009A22B7" w:rsidP="00B93E60">
      <w:pPr>
        <w:spacing w:after="0" w:line="240" w:lineRule="auto"/>
        <w:jc w:val="both"/>
        <w:rPr>
          <w:sz w:val="24"/>
        </w:rPr>
      </w:pPr>
    </w:p>
    <w:p w:rsidR="009A22B7" w:rsidRDefault="009A22B7" w:rsidP="00B93E60">
      <w:pPr>
        <w:spacing w:after="0" w:line="240" w:lineRule="auto"/>
        <w:jc w:val="both"/>
        <w:rPr>
          <w:sz w:val="24"/>
        </w:rPr>
      </w:pPr>
      <w:r w:rsidRPr="009A22B7">
        <w:rPr>
          <w:b/>
          <w:sz w:val="24"/>
        </w:rPr>
        <w:t>La deuxième semaine</w:t>
      </w:r>
      <w:r>
        <w:rPr>
          <w:sz w:val="24"/>
        </w:rPr>
        <w:t xml:space="preserve"> sera consacrée à l’évaluation de la première étape et </w:t>
      </w:r>
      <w:r w:rsidR="00BE7396">
        <w:rPr>
          <w:sz w:val="24"/>
        </w:rPr>
        <w:t xml:space="preserve">à la finalisation des </w:t>
      </w:r>
      <w:r w:rsidR="007F52CD">
        <w:rPr>
          <w:sz w:val="24"/>
        </w:rPr>
        <w:t>procès-verbaux</w:t>
      </w:r>
      <w:r>
        <w:rPr>
          <w:sz w:val="24"/>
        </w:rPr>
        <w:t>.</w:t>
      </w:r>
    </w:p>
    <w:p w:rsidR="009A22B7" w:rsidRDefault="009A22B7" w:rsidP="00B93E60">
      <w:pPr>
        <w:spacing w:after="0" w:line="240" w:lineRule="auto"/>
        <w:jc w:val="both"/>
        <w:rPr>
          <w:sz w:val="24"/>
        </w:rPr>
      </w:pPr>
    </w:p>
    <w:p w:rsidR="009A22B7" w:rsidRDefault="009A22B7" w:rsidP="00B93E60">
      <w:pPr>
        <w:spacing w:after="0" w:line="240" w:lineRule="auto"/>
        <w:jc w:val="both"/>
        <w:rPr>
          <w:sz w:val="24"/>
        </w:rPr>
      </w:pPr>
      <w:r w:rsidRPr="009A22B7">
        <w:rPr>
          <w:b/>
          <w:sz w:val="24"/>
        </w:rPr>
        <w:t>La troisième semaine</w:t>
      </w:r>
      <w:r>
        <w:rPr>
          <w:sz w:val="24"/>
        </w:rPr>
        <w:t xml:space="preserve"> concernera les régions de l’étape N°2 :</w:t>
      </w:r>
    </w:p>
    <w:p w:rsidR="009A22B7" w:rsidRDefault="009A22B7" w:rsidP="00B93E60">
      <w:pPr>
        <w:spacing w:after="0" w:line="240" w:lineRule="auto"/>
        <w:jc w:val="both"/>
        <w:rPr>
          <w:sz w:val="24"/>
        </w:rPr>
      </w:pPr>
    </w:p>
    <w:p w:rsidR="009A22B7" w:rsidRDefault="009A22B7" w:rsidP="009A22B7">
      <w:pPr>
        <w:spacing w:after="0" w:line="240" w:lineRule="auto"/>
        <w:jc w:val="both"/>
        <w:rPr>
          <w:sz w:val="24"/>
        </w:rPr>
      </w:pPr>
      <w:r>
        <w:rPr>
          <w:sz w:val="24"/>
        </w:rPr>
        <w:t>Jour 1 : Voyage sur Diourbel (Dimanche)</w:t>
      </w:r>
    </w:p>
    <w:p w:rsidR="009A22B7" w:rsidRDefault="009A22B7" w:rsidP="009A22B7">
      <w:pPr>
        <w:spacing w:after="0" w:line="240" w:lineRule="auto"/>
        <w:jc w:val="both"/>
        <w:rPr>
          <w:sz w:val="24"/>
        </w:rPr>
      </w:pPr>
      <w:r>
        <w:rPr>
          <w:sz w:val="24"/>
        </w:rPr>
        <w:t>Jour 2 : Diourbel</w:t>
      </w:r>
    </w:p>
    <w:p w:rsidR="009A22B7" w:rsidRDefault="009A22B7" w:rsidP="009A22B7">
      <w:pPr>
        <w:spacing w:after="0" w:line="240" w:lineRule="auto"/>
        <w:jc w:val="both"/>
        <w:rPr>
          <w:sz w:val="24"/>
        </w:rPr>
      </w:pPr>
      <w:r>
        <w:rPr>
          <w:sz w:val="24"/>
        </w:rPr>
        <w:t>Jour 3 : Fatick</w:t>
      </w:r>
    </w:p>
    <w:p w:rsidR="009A22B7" w:rsidRDefault="009A22B7" w:rsidP="009A22B7">
      <w:pPr>
        <w:spacing w:after="0" w:line="240" w:lineRule="auto"/>
        <w:jc w:val="both"/>
        <w:rPr>
          <w:sz w:val="24"/>
        </w:rPr>
      </w:pPr>
      <w:r>
        <w:rPr>
          <w:sz w:val="24"/>
        </w:rPr>
        <w:t>Jour 4 : Kaolack</w:t>
      </w:r>
    </w:p>
    <w:p w:rsidR="009A22B7" w:rsidRDefault="009A22B7" w:rsidP="009A22B7">
      <w:pPr>
        <w:spacing w:after="0" w:line="240" w:lineRule="auto"/>
        <w:jc w:val="both"/>
        <w:rPr>
          <w:sz w:val="24"/>
        </w:rPr>
      </w:pPr>
      <w:r>
        <w:rPr>
          <w:sz w:val="24"/>
        </w:rPr>
        <w:t>Jour 5 : Kaffrine</w:t>
      </w:r>
    </w:p>
    <w:p w:rsidR="009A22B7" w:rsidRDefault="009A22B7" w:rsidP="009A22B7">
      <w:pPr>
        <w:spacing w:after="0" w:line="240" w:lineRule="auto"/>
        <w:jc w:val="both"/>
        <w:rPr>
          <w:sz w:val="24"/>
        </w:rPr>
      </w:pPr>
      <w:r>
        <w:rPr>
          <w:sz w:val="24"/>
        </w:rPr>
        <w:t>Jour 6 :</w:t>
      </w:r>
      <w:r w:rsidRPr="009A22B7">
        <w:rPr>
          <w:sz w:val="24"/>
        </w:rPr>
        <w:t xml:space="preserve"> </w:t>
      </w:r>
      <w:r>
        <w:rPr>
          <w:sz w:val="24"/>
        </w:rPr>
        <w:t>Voyage retour sur Dakar (Vendredi).</w:t>
      </w:r>
    </w:p>
    <w:p w:rsidR="009A22B7" w:rsidRDefault="009A22B7" w:rsidP="009A22B7">
      <w:pPr>
        <w:spacing w:after="0" w:line="240" w:lineRule="auto"/>
        <w:jc w:val="both"/>
        <w:rPr>
          <w:sz w:val="24"/>
        </w:rPr>
      </w:pPr>
    </w:p>
    <w:p w:rsidR="009A22B7" w:rsidRDefault="009A22B7" w:rsidP="009A22B7">
      <w:pPr>
        <w:spacing w:after="0" w:line="240" w:lineRule="auto"/>
        <w:jc w:val="both"/>
        <w:rPr>
          <w:sz w:val="24"/>
        </w:rPr>
      </w:pPr>
      <w:r w:rsidRPr="00BE7396">
        <w:rPr>
          <w:b/>
          <w:sz w:val="24"/>
        </w:rPr>
        <w:t>La quatrième semaine</w:t>
      </w:r>
      <w:r>
        <w:rPr>
          <w:sz w:val="24"/>
        </w:rPr>
        <w:t xml:space="preserve"> sera consacrée à l’évaluation de la deuxième étape et à la </w:t>
      </w:r>
      <w:r w:rsidR="00BE7396">
        <w:rPr>
          <w:sz w:val="24"/>
        </w:rPr>
        <w:t>finalisation</w:t>
      </w:r>
      <w:r>
        <w:rPr>
          <w:sz w:val="24"/>
        </w:rPr>
        <w:t xml:space="preserve"> des </w:t>
      </w:r>
      <w:r w:rsidR="007F52CD">
        <w:rPr>
          <w:sz w:val="24"/>
        </w:rPr>
        <w:t>procès-verbaux</w:t>
      </w:r>
      <w:bookmarkStart w:id="0" w:name="_GoBack"/>
      <w:bookmarkEnd w:id="0"/>
      <w:r w:rsidR="00BE7396">
        <w:rPr>
          <w:sz w:val="24"/>
        </w:rPr>
        <w:t>.</w:t>
      </w:r>
    </w:p>
    <w:p w:rsidR="00BE7396" w:rsidRDefault="00BE7396" w:rsidP="009A22B7">
      <w:pPr>
        <w:spacing w:after="0" w:line="240" w:lineRule="auto"/>
        <w:jc w:val="both"/>
        <w:rPr>
          <w:sz w:val="24"/>
        </w:rPr>
      </w:pPr>
    </w:p>
    <w:p w:rsidR="00BE7396" w:rsidRDefault="00BE7396" w:rsidP="009A22B7">
      <w:pPr>
        <w:spacing w:after="0" w:line="240" w:lineRule="auto"/>
        <w:jc w:val="both"/>
        <w:rPr>
          <w:sz w:val="24"/>
        </w:rPr>
      </w:pPr>
      <w:r w:rsidRPr="00BE7396">
        <w:rPr>
          <w:b/>
          <w:sz w:val="24"/>
        </w:rPr>
        <w:t>La Cinquième semaine</w:t>
      </w:r>
      <w:r>
        <w:rPr>
          <w:sz w:val="24"/>
        </w:rPr>
        <w:t xml:space="preserve"> concernera les régions de l’étape N°3, la dernière :</w:t>
      </w:r>
    </w:p>
    <w:p w:rsidR="00BE7396" w:rsidRDefault="00BE7396" w:rsidP="009A22B7">
      <w:pPr>
        <w:spacing w:after="0" w:line="240" w:lineRule="auto"/>
        <w:jc w:val="both"/>
        <w:rPr>
          <w:sz w:val="24"/>
        </w:rPr>
      </w:pPr>
    </w:p>
    <w:p w:rsidR="00BE7396" w:rsidRDefault="00BE7396" w:rsidP="00BE7396">
      <w:pPr>
        <w:spacing w:after="0" w:line="240" w:lineRule="auto"/>
        <w:jc w:val="both"/>
        <w:rPr>
          <w:sz w:val="24"/>
        </w:rPr>
      </w:pPr>
      <w:r>
        <w:rPr>
          <w:sz w:val="24"/>
        </w:rPr>
        <w:t>Jour 1 : Voyage sur Tambacounda (Dimanche)</w:t>
      </w:r>
    </w:p>
    <w:p w:rsidR="00BE7396" w:rsidRDefault="00BE7396" w:rsidP="00BE7396">
      <w:pPr>
        <w:spacing w:after="0" w:line="240" w:lineRule="auto"/>
        <w:jc w:val="both"/>
        <w:rPr>
          <w:sz w:val="24"/>
        </w:rPr>
      </w:pPr>
      <w:r>
        <w:rPr>
          <w:sz w:val="24"/>
        </w:rPr>
        <w:t>Jour 2 : Tambacounda</w:t>
      </w:r>
    </w:p>
    <w:p w:rsidR="00BE7396" w:rsidRDefault="00BE7396" w:rsidP="00BE7396">
      <w:pPr>
        <w:spacing w:after="0" w:line="240" w:lineRule="auto"/>
        <w:jc w:val="both"/>
        <w:rPr>
          <w:sz w:val="24"/>
        </w:rPr>
      </w:pPr>
      <w:r>
        <w:rPr>
          <w:sz w:val="24"/>
        </w:rPr>
        <w:t>Jour 3 : Voyage sur Kédougou</w:t>
      </w:r>
    </w:p>
    <w:p w:rsidR="00BE7396" w:rsidRDefault="00BE7396" w:rsidP="00BE7396">
      <w:pPr>
        <w:spacing w:after="0" w:line="240" w:lineRule="auto"/>
        <w:jc w:val="both"/>
        <w:rPr>
          <w:sz w:val="24"/>
        </w:rPr>
      </w:pPr>
      <w:r>
        <w:rPr>
          <w:sz w:val="24"/>
        </w:rPr>
        <w:t>Jour 4 : Kédougou</w:t>
      </w:r>
    </w:p>
    <w:p w:rsidR="00BE7396" w:rsidRDefault="00BE7396" w:rsidP="00BE7396">
      <w:pPr>
        <w:spacing w:after="0" w:line="240" w:lineRule="auto"/>
        <w:jc w:val="both"/>
        <w:rPr>
          <w:sz w:val="24"/>
        </w:rPr>
      </w:pPr>
      <w:r>
        <w:rPr>
          <w:sz w:val="24"/>
        </w:rPr>
        <w:t>Jour 5 : Voyage sur Kolda</w:t>
      </w:r>
    </w:p>
    <w:p w:rsidR="00BE7396" w:rsidRDefault="00BE7396" w:rsidP="00BE7396">
      <w:pPr>
        <w:spacing w:after="0" w:line="240" w:lineRule="auto"/>
        <w:jc w:val="both"/>
        <w:rPr>
          <w:sz w:val="24"/>
        </w:rPr>
      </w:pPr>
      <w:r>
        <w:rPr>
          <w:sz w:val="24"/>
        </w:rPr>
        <w:t>Jour 6 : Kolda</w:t>
      </w:r>
      <w:r w:rsidRPr="00BE7396">
        <w:rPr>
          <w:sz w:val="24"/>
        </w:rPr>
        <w:t xml:space="preserve"> </w:t>
      </w:r>
      <w:r>
        <w:rPr>
          <w:sz w:val="24"/>
        </w:rPr>
        <w:t xml:space="preserve">et Voyage sur </w:t>
      </w:r>
      <w:proofErr w:type="spellStart"/>
      <w:r w:rsidR="004357EA">
        <w:rPr>
          <w:sz w:val="24"/>
        </w:rPr>
        <w:t>Sédhiou</w:t>
      </w:r>
      <w:proofErr w:type="spellEnd"/>
    </w:p>
    <w:p w:rsidR="00BE7396" w:rsidRDefault="00BE7396" w:rsidP="00BE7396">
      <w:pPr>
        <w:spacing w:after="0" w:line="240" w:lineRule="auto"/>
        <w:jc w:val="both"/>
        <w:rPr>
          <w:sz w:val="24"/>
        </w:rPr>
      </w:pPr>
      <w:r>
        <w:rPr>
          <w:sz w:val="24"/>
        </w:rPr>
        <w:t xml:space="preserve">Jour 7 : </w:t>
      </w:r>
      <w:proofErr w:type="spellStart"/>
      <w:r>
        <w:rPr>
          <w:sz w:val="24"/>
        </w:rPr>
        <w:t>Sédhiou</w:t>
      </w:r>
      <w:proofErr w:type="spellEnd"/>
      <w:r>
        <w:rPr>
          <w:sz w:val="24"/>
        </w:rPr>
        <w:t xml:space="preserve"> (Samedi).</w:t>
      </w:r>
    </w:p>
    <w:p w:rsidR="00BE7396" w:rsidRDefault="00BE7396" w:rsidP="009A22B7">
      <w:pPr>
        <w:spacing w:after="0" w:line="240" w:lineRule="auto"/>
        <w:jc w:val="both"/>
        <w:rPr>
          <w:sz w:val="24"/>
        </w:rPr>
      </w:pPr>
    </w:p>
    <w:p w:rsidR="00961820" w:rsidRDefault="00BE7396" w:rsidP="009A22B7">
      <w:pPr>
        <w:spacing w:after="0" w:line="240" w:lineRule="auto"/>
        <w:jc w:val="both"/>
        <w:rPr>
          <w:sz w:val="24"/>
        </w:rPr>
      </w:pPr>
      <w:r w:rsidRPr="00961820">
        <w:rPr>
          <w:b/>
          <w:sz w:val="24"/>
        </w:rPr>
        <w:t>La Sixi</w:t>
      </w:r>
      <w:r w:rsidR="00961820" w:rsidRPr="00961820">
        <w:rPr>
          <w:b/>
          <w:sz w:val="24"/>
        </w:rPr>
        <w:t>ème semaine</w:t>
      </w:r>
      <w:r w:rsidR="00961820">
        <w:rPr>
          <w:sz w:val="24"/>
        </w:rPr>
        <w:t xml:space="preserve"> concernera le reste (Région de Ziguinchor) </w:t>
      </w:r>
      <w:r>
        <w:rPr>
          <w:sz w:val="24"/>
        </w:rPr>
        <w:t xml:space="preserve">de la cinquième semaine et l’évaluation de la troisième étape y compris la finalisation des </w:t>
      </w:r>
      <w:proofErr w:type="spellStart"/>
      <w:r>
        <w:rPr>
          <w:sz w:val="24"/>
        </w:rPr>
        <w:t>procès verbaux</w:t>
      </w:r>
      <w:proofErr w:type="spellEnd"/>
      <w:r w:rsidR="00961820">
        <w:rPr>
          <w:sz w:val="24"/>
        </w:rPr>
        <w:t> :</w:t>
      </w:r>
    </w:p>
    <w:p w:rsidR="00BE7396" w:rsidRDefault="00BE7396" w:rsidP="009A22B7">
      <w:pPr>
        <w:spacing w:after="0" w:line="240" w:lineRule="auto"/>
        <w:jc w:val="both"/>
        <w:rPr>
          <w:sz w:val="24"/>
        </w:rPr>
      </w:pPr>
    </w:p>
    <w:p w:rsidR="00961820" w:rsidRDefault="00961820" w:rsidP="00961820">
      <w:pPr>
        <w:spacing w:after="0" w:line="240" w:lineRule="auto"/>
        <w:jc w:val="both"/>
        <w:rPr>
          <w:sz w:val="24"/>
        </w:rPr>
      </w:pPr>
      <w:r>
        <w:rPr>
          <w:sz w:val="24"/>
        </w:rPr>
        <w:t>Jour 1 : Voyage sur Ziguinchor (Dimanche)</w:t>
      </w:r>
    </w:p>
    <w:p w:rsidR="00961820" w:rsidRDefault="00961820" w:rsidP="00961820">
      <w:pPr>
        <w:spacing w:after="0" w:line="240" w:lineRule="auto"/>
        <w:jc w:val="both"/>
        <w:rPr>
          <w:sz w:val="24"/>
        </w:rPr>
      </w:pPr>
      <w:r>
        <w:rPr>
          <w:sz w:val="24"/>
        </w:rPr>
        <w:t>Jour 2 : Ziguinchor</w:t>
      </w:r>
    </w:p>
    <w:p w:rsidR="00961820" w:rsidRDefault="00961820" w:rsidP="00961820">
      <w:pPr>
        <w:spacing w:after="0" w:line="240" w:lineRule="auto"/>
        <w:jc w:val="both"/>
        <w:rPr>
          <w:sz w:val="24"/>
        </w:rPr>
      </w:pPr>
      <w:r>
        <w:rPr>
          <w:sz w:val="24"/>
        </w:rPr>
        <w:t>Jour 3 : Voyage retour sur Dakar</w:t>
      </w:r>
      <w:r w:rsidR="004357EA">
        <w:rPr>
          <w:sz w:val="24"/>
        </w:rPr>
        <w:t>.</w:t>
      </w:r>
    </w:p>
    <w:p w:rsidR="00961820" w:rsidRDefault="00961820" w:rsidP="009A22B7">
      <w:pPr>
        <w:spacing w:after="0" w:line="240" w:lineRule="auto"/>
        <w:jc w:val="both"/>
        <w:rPr>
          <w:sz w:val="24"/>
        </w:rPr>
      </w:pPr>
    </w:p>
    <w:p w:rsidR="00961820" w:rsidRDefault="00961820" w:rsidP="009A22B7">
      <w:pPr>
        <w:spacing w:after="0" w:line="240" w:lineRule="auto"/>
        <w:jc w:val="both"/>
        <w:rPr>
          <w:sz w:val="24"/>
        </w:rPr>
      </w:pPr>
      <w:r w:rsidRPr="00961820">
        <w:rPr>
          <w:b/>
          <w:sz w:val="24"/>
        </w:rPr>
        <w:t>La Septième semaine</w:t>
      </w:r>
      <w:r>
        <w:rPr>
          <w:sz w:val="24"/>
        </w:rPr>
        <w:t xml:space="preserve"> sera consacré à la finalisation et à la validation du Rapport global et à sa soumission au Chef de l’</w:t>
      </w:r>
      <w:proofErr w:type="spellStart"/>
      <w:r>
        <w:rPr>
          <w:sz w:val="24"/>
        </w:rPr>
        <w:t>Etat</w:t>
      </w:r>
      <w:proofErr w:type="spellEnd"/>
      <w:r>
        <w:rPr>
          <w:sz w:val="24"/>
        </w:rPr>
        <w:t xml:space="preserve"> (selon la formule à adopter).</w:t>
      </w:r>
    </w:p>
    <w:p w:rsidR="00512DB5" w:rsidRPr="00B93E60" w:rsidRDefault="00512DB5" w:rsidP="001D7B87">
      <w:pPr>
        <w:spacing w:after="0" w:line="240" w:lineRule="auto"/>
        <w:rPr>
          <w:sz w:val="24"/>
        </w:rPr>
      </w:pPr>
    </w:p>
    <w:p w:rsidR="00AA144E" w:rsidRPr="00D116DD" w:rsidRDefault="00664951" w:rsidP="001D7B87">
      <w:pPr>
        <w:pStyle w:val="Paragraphedeliste"/>
        <w:numPr>
          <w:ilvl w:val="0"/>
          <w:numId w:val="1"/>
        </w:numPr>
        <w:spacing w:after="0" w:line="240" w:lineRule="auto"/>
        <w:rPr>
          <w:b/>
          <w:sz w:val="24"/>
        </w:rPr>
      </w:pPr>
      <w:r w:rsidRPr="00512DB5">
        <w:rPr>
          <w:b/>
          <w:sz w:val="24"/>
        </w:rPr>
        <w:t>Budget.</w:t>
      </w:r>
      <w:r w:rsidR="00D116DD">
        <w:rPr>
          <w:b/>
          <w:sz w:val="24"/>
        </w:rPr>
        <w:t xml:space="preserve"> </w:t>
      </w:r>
      <w:r w:rsidR="004F3AB7">
        <w:t>(à élaborer selon procédures des institutions concernées).</w:t>
      </w:r>
    </w:p>
    <w:p w:rsidR="004F3AB7" w:rsidRDefault="004F3AB7" w:rsidP="001D7B87">
      <w:pPr>
        <w:spacing w:after="0" w:line="240" w:lineRule="auto"/>
      </w:pPr>
    </w:p>
    <w:tbl>
      <w:tblPr>
        <w:tblStyle w:val="Grilledutableau"/>
        <w:tblW w:w="9464" w:type="dxa"/>
        <w:tblLayout w:type="fixed"/>
        <w:tblLook w:val="04A0" w:firstRow="1" w:lastRow="0" w:firstColumn="1" w:lastColumn="0" w:noHBand="0" w:noVBand="1"/>
      </w:tblPr>
      <w:tblGrid>
        <w:gridCol w:w="5353"/>
        <w:gridCol w:w="1134"/>
        <w:gridCol w:w="1276"/>
        <w:gridCol w:w="1701"/>
      </w:tblGrid>
      <w:tr w:rsidR="00D116DD" w:rsidRPr="00D116DD" w:rsidTr="009B6A0A">
        <w:tc>
          <w:tcPr>
            <w:tcW w:w="5353" w:type="dxa"/>
          </w:tcPr>
          <w:p w:rsidR="00D116DD" w:rsidRDefault="00D116DD" w:rsidP="00D116DD">
            <w:pPr>
              <w:jc w:val="center"/>
              <w:rPr>
                <w:sz w:val="24"/>
              </w:rPr>
            </w:pPr>
          </w:p>
          <w:p w:rsidR="00D116DD" w:rsidRPr="00D116DD" w:rsidRDefault="00D116DD" w:rsidP="00D116DD">
            <w:pPr>
              <w:jc w:val="center"/>
              <w:rPr>
                <w:sz w:val="24"/>
              </w:rPr>
            </w:pPr>
            <w:r w:rsidRPr="00D116DD">
              <w:rPr>
                <w:sz w:val="24"/>
              </w:rPr>
              <w:t>Désignation</w:t>
            </w:r>
          </w:p>
        </w:tc>
        <w:tc>
          <w:tcPr>
            <w:tcW w:w="1134" w:type="dxa"/>
          </w:tcPr>
          <w:p w:rsidR="00D116DD" w:rsidRDefault="00D116DD" w:rsidP="00D116DD">
            <w:pPr>
              <w:jc w:val="center"/>
              <w:rPr>
                <w:sz w:val="24"/>
              </w:rPr>
            </w:pPr>
          </w:p>
          <w:p w:rsidR="00D116DD" w:rsidRPr="00D116DD" w:rsidRDefault="00D116DD" w:rsidP="00D116DD">
            <w:pPr>
              <w:jc w:val="center"/>
              <w:rPr>
                <w:sz w:val="24"/>
              </w:rPr>
            </w:pPr>
            <w:r w:rsidRPr="00D116DD">
              <w:rPr>
                <w:sz w:val="24"/>
              </w:rPr>
              <w:t>Quantité</w:t>
            </w:r>
          </w:p>
        </w:tc>
        <w:tc>
          <w:tcPr>
            <w:tcW w:w="1276" w:type="dxa"/>
          </w:tcPr>
          <w:p w:rsidR="00D116DD" w:rsidRDefault="00D116DD" w:rsidP="00D116DD">
            <w:pPr>
              <w:jc w:val="center"/>
              <w:rPr>
                <w:sz w:val="24"/>
              </w:rPr>
            </w:pPr>
          </w:p>
          <w:p w:rsidR="00D116DD" w:rsidRPr="00D116DD" w:rsidRDefault="00D116DD" w:rsidP="00D116DD">
            <w:pPr>
              <w:jc w:val="center"/>
              <w:rPr>
                <w:sz w:val="24"/>
              </w:rPr>
            </w:pPr>
            <w:r w:rsidRPr="00D116DD">
              <w:rPr>
                <w:sz w:val="24"/>
              </w:rPr>
              <w:t>Prix Unitaire</w:t>
            </w:r>
          </w:p>
        </w:tc>
        <w:tc>
          <w:tcPr>
            <w:tcW w:w="1701" w:type="dxa"/>
          </w:tcPr>
          <w:p w:rsidR="00D116DD" w:rsidRDefault="00D116DD" w:rsidP="00D116DD">
            <w:pPr>
              <w:jc w:val="center"/>
              <w:rPr>
                <w:sz w:val="24"/>
              </w:rPr>
            </w:pPr>
          </w:p>
          <w:p w:rsidR="00D116DD" w:rsidRDefault="00D116DD" w:rsidP="00D116DD">
            <w:pPr>
              <w:jc w:val="center"/>
              <w:rPr>
                <w:sz w:val="24"/>
              </w:rPr>
            </w:pPr>
            <w:r w:rsidRPr="00D116DD">
              <w:rPr>
                <w:sz w:val="24"/>
              </w:rPr>
              <w:t>Montant</w:t>
            </w:r>
          </w:p>
          <w:p w:rsidR="00D116DD" w:rsidRPr="00D116DD" w:rsidRDefault="00D116DD" w:rsidP="00D116DD">
            <w:pPr>
              <w:jc w:val="center"/>
              <w:rPr>
                <w:sz w:val="24"/>
              </w:rPr>
            </w:pPr>
          </w:p>
        </w:tc>
      </w:tr>
      <w:tr w:rsidR="00D116DD" w:rsidRPr="009B6A0A" w:rsidTr="009B6A0A">
        <w:tc>
          <w:tcPr>
            <w:tcW w:w="5353" w:type="dxa"/>
          </w:tcPr>
          <w:p w:rsidR="00D116DD" w:rsidRPr="009B6A0A" w:rsidRDefault="00F255E7" w:rsidP="001D7B87">
            <w:pPr>
              <w:rPr>
                <w:b/>
                <w:sz w:val="24"/>
                <w:szCs w:val="24"/>
              </w:rPr>
            </w:pPr>
            <w:r w:rsidRPr="009B6A0A">
              <w:rPr>
                <w:b/>
                <w:sz w:val="24"/>
                <w:szCs w:val="24"/>
              </w:rPr>
              <w:t>I. Tenue des Foras</w:t>
            </w:r>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D116DD" w:rsidRPr="009B6A0A" w:rsidTr="009B6A0A">
        <w:tc>
          <w:tcPr>
            <w:tcW w:w="5353" w:type="dxa"/>
          </w:tcPr>
          <w:p w:rsidR="00D116DD" w:rsidRPr="009B6A0A" w:rsidRDefault="00F255E7" w:rsidP="001D7B87">
            <w:pPr>
              <w:rPr>
                <w:sz w:val="24"/>
                <w:szCs w:val="24"/>
              </w:rPr>
            </w:pPr>
            <w:r w:rsidRPr="009B6A0A">
              <w:rPr>
                <w:sz w:val="24"/>
                <w:szCs w:val="24"/>
              </w:rPr>
              <w:t>1.1. Location de salle sonorisée</w:t>
            </w:r>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D116DD" w:rsidRPr="009B6A0A" w:rsidTr="009B6A0A">
        <w:tc>
          <w:tcPr>
            <w:tcW w:w="5353" w:type="dxa"/>
          </w:tcPr>
          <w:p w:rsidR="00D116DD" w:rsidRPr="009B6A0A" w:rsidRDefault="00F255E7" w:rsidP="001D7B87">
            <w:pPr>
              <w:rPr>
                <w:sz w:val="24"/>
                <w:szCs w:val="24"/>
              </w:rPr>
            </w:pPr>
            <w:r w:rsidRPr="009B6A0A">
              <w:rPr>
                <w:sz w:val="24"/>
                <w:szCs w:val="24"/>
              </w:rPr>
              <w:t xml:space="preserve">1.2. </w:t>
            </w:r>
            <w:proofErr w:type="spellStart"/>
            <w:r w:rsidRPr="009B6A0A">
              <w:rPr>
                <w:sz w:val="24"/>
                <w:szCs w:val="24"/>
              </w:rPr>
              <w:t>Pause café</w:t>
            </w:r>
            <w:proofErr w:type="spellEnd"/>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D116DD" w:rsidRPr="009B6A0A" w:rsidTr="009B6A0A">
        <w:tc>
          <w:tcPr>
            <w:tcW w:w="5353" w:type="dxa"/>
          </w:tcPr>
          <w:p w:rsidR="00D116DD" w:rsidRPr="009B6A0A" w:rsidRDefault="00F255E7" w:rsidP="001D7B87">
            <w:pPr>
              <w:rPr>
                <w:sz w:val="24"/>
                <w:szCs w:val="24"/>
              </w:rPr>
            </w:pPr>
            <w:r w:rsidRPr="009B6A0A">
              <w:rPr>
                <w:sz w:val="24"/>
                <w:szCs w:val="24"/>
              </w:rPr>
              <w:t>1.3. Pause déjeuner</w:t>
            </w:r>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D116DD" w:rsidRPr="009B6A0A" w:rsidTr="009B6A0A">
        <w:tc>
          <w:tcPr>
            <w:tcW w:w="5353" w:type="dxa"/>
          </w:tcPr>
          <w:p w:rsidR="00D116DD" w:rsidRPr="009B6A0A" w:rsidRDefault="00F255E7" w:rsidP="001D7B87">
            <w:pPr>
              <w:rPr>
                <w:sz w:val="24"/>
                <w:szCs w:val="24"/>
              </w:rPr>
            </w:pPr>
            <w:r w:rsidRPr="009B6A0A">
              <w:rPr>
                <w:sz w:val="24"/>
                <w:szCs w:val="24"/>
              </w:rPr>
              <w:t>1.4. Dossiers participants</w:t>
            </w:r>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D116DD" w:rsidRPr="009B6A0A" w:rsidTr="009B6A0A">
        <w:tc>
          <w:tcPr>
            <w:tcW w:w="5353" w:type="dxa"/>
          </w:tcPr>
          <w:p w:rsidR="00D116DD" w:rsidRPr="009B6A0A" w:rsidRDefault="00F255E7" w:rsidP="001D7B87">
            <w:pPr>
              <w:rPr>
                <w:b/>
                <w:sz w:val="24"/>
                <w:szCs w:val="24"/>
              </w:rPr>
            </w:pPr>
            <w:r w:rsidRPr="009B6A0A">
              <w:rPr>
                <w:b/>
                <w:sz w:val="24"/>
                <w:szCs w:val="24"/>
              </w:rPr>
              <w:t>Sous Total I :</w:t>
            </w:r>
          </w:p>
        </w:tc>
        <w:tc>
          <w:tcPr>
            <w:tcW w:w="1134" w:type="dxa"/>
          </w:tcPr>
          <w:p w:rsidR="00D116DD" w:rsidRPr="009B6A0A" w:rsidRDefault="00D116DD" w:rsidP="001D7B87">
            <w:pPr>
              <w:rPr>
                <w:sz w:val="24"/>
                <w:szCs w:val="24"/>
              </w:rPr>
            </w:pPr>
          </w:p>
        </w:tc>
        <w:tc>
          <w:tcPr>
            <w:tcW w:w="1276" w:type="dxa"/>
          </w:tcPr>
          <w:p w:rsidR="00D116DD" w:rsidRPr="009B6A0A" w:rsidRDefault="00D116DD" w:rsidP="001D7B87">
            <w:pPr>
              <w:rPr>
                <w:sz w:val="24"/>
                <w:szCs w:val="24"/>
              </w:rPr>
            </w:pPr>
          </w:p>
        </w:tc>
        <w:tc>
          <w:tcPr>
            <w:tcW w:w="1701" w:type="dxa"/>
          </w:tcPr>
          <w:p w:rsidR="00D116DD" w:rsidRPr="009B6A0A" w:rsidRDefault="00D116DD" w:rsidP="001D7B87">
            <w:pPr>
              <w:rPr>
                <w:sz w:val="24"/>
                <w:szCs w:val="24"/>
              </w:rPr>
            </w:pPr>
          </w:p>
        </w:tc>
      </w:tr>
      <w:tr w:rsidR="00F255E7" w:rsidRPr="009B6A0A" w:rsidTr="009B6A0A">
        <w:tc>
          <w:tcPr>
            <w:tcW w:w="5353" w:type="dxa"/>
          </w:tcPr>
          <w:p w:rsidR="00F255E7" w:rsidRPr="009B6A0A" w:rsidRDefault="00F255E7" w:rsidP="001D7B87">
            <w:pPr>
              <w:rPr>
                <w:b/>
                <w:sz w:val="24"/>
                <w:szCs w:val="24"/>
              </w:rPr>
            </w:pPr>
            <w:r w:rsidRPr="009B6A0A">
              <w:rPr>
                <w:b/>
                <w:sz w:val="24"/>
                <w:szCs w:val="24"/>
              </w:rPr>
              <w:t>II. Facilitation et rapportage</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sz w:val="24"/>
                <w:szCs w:val="24"/>
              </w:rPr>
            </w:pPr>
            <w:r w:rsidRPr="009B6A0A">
              <w:rPr>
                <w:sz w:val="24"/>
                <w:szCs w:val="24"/>
              </w:rPr>
              <w:t xml:space="preserve">2.1. Modérateur </w:t>
            </w:r>
            <w:r w:rsidR="00FC6960" w:rsidRPr="009B6A0A">
              <w:rPr>
                <w:sz w:val="24"/>
                <w:szCs w:val="24"/>
              </w:rPr>
              <w:t>(14)</w:t>
            </w:r>
          </w:p>
        </w:tc>
        <w:tc>
          <w:tcPr>
            <w:tcW w:w="1134" w:type="dxa"/>
          </w:tcPr>
          <w:p w:rsidR="00F255E7" w:rsidRPr="009B6A0A" w:rsidRDefault="00F255E7" w:rsidP="00913583">
            <w:pPr>
              <w:jc w:val="cente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sz w:val="24"/>
                <w:szCs w:val="24"/>
              </w:rPr>
            </w:pPr>
            <w:r w:rsidRPr="009B6A0A">
              <w:rPr>
                <w:sz w:val="24"/>
                <w:szCs w:val="24"/>
              </w:rPr>
              <w:t>2.2. Rapporteur au niveau local</w:t>
            </w:r>
            <w:r w:rsidR="00816CE1" w:rsidRPr="009B6A0A">
              <w:rPr>
                <w:sz w:val="24"/>
                <w:szCs w:val="24"/>
              </w:rPr>
              <w:t xml:space="preserve"> (01</w:t>
            </w:r>
            <w:r w:rsidR="00913583" w:rsidRPr="009B6A0A">
              <w:rPr>
                <w:sz w:val="24"/>
                <w:szCs w:val="24"/>
              </w:rPr>
              <w:t>par région</w:t>
            </w:r>
            <w:r w:rsidR="00816CE1" w:rsidRPr="009B6A0A">
              <w:rPr>
                <w:sz w:val="24"/>
                <w:szCs w:val="24"/>
              </w:rPr>
              <w:t>)</w:t>
            </w:r>
            <w:r w:rsidR="00FC6960" w:rsidRPr="009B6A0A">
              <w:rPr>
                <w:sz w:val="24"/>
                <w:szCs w:val="24"/>
              </w:rPr>
              <w:t>(14)</w:t>
            </w:r>
          </w:p>
        </w:tc>
        <w:tc>
          <w:tcPr>
            <w:tcW w:w="1134" w:type="dxa"/>
          </w:tcPr>
          <w:p w:rsidR="00F255E7" w:rsidRPr="009B6A0A" w:rsidRDefault="00F255E7" w:rsidP="00913583">
            <w:pPr>
              <w:jc w:val="cente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b/>
                <w:sz w:val="24"/>
                <w:szCs w:val="24"/>
              </w:rPr>
            </w:pPr>
            <w:r w:rsidRPr="009B6A0A">
              <w:rPr>
                <w:b/>
                <w:sz w:val="24"/>
                <w:szCs w:val="24"/>
              </w:rPr>
              <w:t>Sous Total II :</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b/>
                <w:sz w:val="24"/>
                <w:szCs w:val="24"/>
              </w:rPr>
            </w:pPr>
            <w:r w:rsidRPr="009B6A0A">
              <w:rPr>
                <w:b/>
                <w:sz w:val="24"/>
                <w:szCs w:val="24"/>
              </w:rPr>
              <w:t xml:space="preserve">III. </w:t>
            </w:r>
            <w:proofErr w:type="spellStart"/>
            <w:r w:rsidRPr="009B6A0A">
              <w:rPr>
                <w:b/>
                <w:sz w:val="24"/>
                <w:szCs w:val="24"/>
              </w:rPr>
              <w:t>Equipe</w:t>
            </w:r>
            <w:proofErr w:type="spellEnd"/>
            <w:r w:rsidRPr="009B6A0A">
              <w:rPr>
                <w:b/>
                <w:sz w:val="24"/>
                <w:szCs w:val="24"/>
              </w:rPr>
              <w:t xml:space="preserve"> de la Mission (</w:t>
            </w:r>
            <w:r w:rsidR="00816CE1" w:rsidRPr="009B6A0A">
              <w:rPr>
                <w:b/>
                <w:sz w:val="24"/>
                <w:szCs w:val="24"/>
              </w:rPr>
              <w:t>10pers. sans  chauffeur)</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sz w:val="24"/>
                <w:szCs w:val="24"/>
              </w:rPr>
            </w:pPr>
            <w:r w:rsidRPr="009B6A0A">
              <w:rPr>
                <w:sz w:val="24"/>
                <w:szCs w:val="24"/>
              </w:rPr>
              <w:t>3.1. Transport</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816CE1" w:rsidP="001D7B87">
            <w:pPr>
              <w:rPr>
                <w:sz w:val="24"/>
                <w:szCs w:val="24"/>
              </w:rPr>
            </w:pPr>
            <w:r w:rsidRPr="009B6A0A">
              <w:rPr>
                <w:sz w:val="24"/>
                <w:szCs w:val="24"/>
              </w:rPr>
              <w:t>3.1.1. Location véhicules (04)</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816CE1" w:rsidRPr="009B6A0A" w:rsidTr="009B6A0A">
        <w:tc>
          <w:tcPr>
            <w:tcW w:w="5353" w:type="dxa"/>
          </w:tcPr>
          <w:p w:rsidR="00816CE1" w:rsidRPr="009B6A0A" w:rsidRDefault="00816CE1" w:rsidP="001D7B87">
            <w:pPr>
              <w:rPr>
                <w:sz w:val="24"/>
                <w:szCs w:val="24"/>
              </w:rPr>
            </w:pPr>
            <w:r w:rsidRPr="009B6A0A">
              <w:rPr>
                <w:sz w:val="24"/>
                <w:szCs w:val="24"/>
              </w:rPr>
              <w:t xml:space="preserve">3.1.2. Carburant </w:t>
            </w:r>
          </w:p>
        </w:tc>
        <w:tc>
          <w:tcPr>
            <w:tcW w:w="1134" w:type="dxa"/>
          </w:tcPr>
          <w:p w:rsidR="00816CE1" w:rsidRPr="009B6A0A" w:rsidRDefault="00816CE1" w:rsidP="001D7B87">
            <w:pPr>
              <w:rPr>
                <w:sz w:val="24"/>
                <w:szCs w:val="24"/>
              </w:rPr>
            </w:pPr>
          </w:p>
        </w:tc>
        <w:tc>
          <w:tcPr>
            <w:tcW w:w="1276" w:type="dxa"/>
          </w:tcPr>
          <w:p w:rsidR="00816CE1" w:rsidRPr="009B6A0A" w:rsidRDefault="00816CE1" w:rsidP="001D7B87">
            <w:pPr>
              <w:rPr>
                <w:sz w:val="24"/>
                <w:szCs w:val="24"/>
              </w:rPr>
            </w:pPr>
          </w:p>
        </w:tc>
        <w:tc>
          <w:tcPr>
            <w:tcW w:w="1701" w:type="dxa"/>
          </w:tcPr>
          <w:p w:rsidR="00816CE1" w:rsidRPr="009B6A0A" w:rsidRDefault="00816CE1" w:rsidP="001D7B87">
            <w:pPr>
              <w:rPr>
                <w:sz w:val="24"/>
                <w:szCs w:val="24"/>
              </w:rPr>
            </w:pPr>
          </w:p>
        </w:tc>
      </w:tr>
      <w:tr w:rsidR="00816CE1" w:rsidRPr="009B6A0A" w:rsidTr="009B6A0A">
        <w:tc>
          <w:tcPr>
            <w:tcW w:w="5353" w:type="dxa"/>
          </w:tcPr>
          <w:p w:rsidR="00816CE1" w:rsidRPr="009B6A0A" w:rsidRDefault="00816CE1" w:rsidP="001D7B87">
            <w:pPr>
              <w:rPr>
                <w:sz w:val="24"/>
                <w:szCs w:val="24"/>
              </w:rPr>
            </w:pPr>
            <w:r w:rsidRPr="009B6A0A">
              <w:rPr>
                <w:sz w:val="24"/>
                <w:szCs w:val="24"/>
              </w:rPr>
              <w:t>3.2. Hébergement (10pers)</w:t>
            </w:r>
          </w:p>
        </w:tc>
        <w:tc>
          <w:tcPr>
            <w:tcW w:w="1134" w:type="dxa"/>
          </w:tcPr>
          <w:p w:rsidR="00816CE1" w:rsidRPr="009B6A0A" w:rsidRDefault="00816CE1" w:rsidP="001D7B87">
            <w:pPr>
              <w:rPr>
                <w:sz w:val="24"/>
                <w:szCs w:val="24"/>
              </w:rPr>
            </w:pPr>
          </w:p>
        </w:tc>
        <w:tc>
          <w:tcPr>
            <w:tcW w:w="1276" w:type="dxa"/>
          </w:tcPr>
          <w:p w:rsidR="00816CE1" w:rsidRPr="009B6A0A" w:rsidRDefault="00816CE1" w:rsidP="001D7B87">
            <w:pPr>
              <w:rPr>
                <w:sz w:val="24"/>
                <w:szCs w:val="24"/>
              </w:rPr>
            </w:pPr>
          </w:p>
        </w:tc>
        <w:tc>
          <w:tcPr>
            <w:tcW w:w="1701" w:type="dxa"/>
          </w:tcPr>
          <w:p w:rsidR="00816CE1" w:rsidRPr="009B6A0A" w:rsidRDefault="00816CE1" w:rsidP="001D7B87">
            <w:pPr>
              <w:rPr>
                <w:sz w:val="24"/>
                <w:szCs w:val="24"/>
              </w:rPr>
            </w:pPr>
          </w:p>
        </w:tc>
      </w:tr>
      <w:tr w:rsidR="00816CE1" w:rsidRPr="009B6A0A" w:rsidTr="009B6A0A">
        <w:tc>
          <w:tcPr>
            <w:tcW w:w="5353" w:type="dxa"/>
          </w:tcPr>
          <w:p w:rsidR="00816CE1" w:rsidRPr="009B6A0A" w:rsidRDefault="00816CE1" w:rsidP="001D7B87">
            <w:pPr>
              <w:rPr>
                <w:sz w:val="24"/>
                <w:szCs w:val="24"/>
              </w:rPr>
            </w:pPr>
            <w:r w:rsidRPr="009B6A0A">
              <w:rPr>
                <w:sz w:val="24"/>
                <w:szCs w:val="24"/>
              </w:rPr>
              <w:t xml:space="preserve">3.3. </w:t>
            </w:r>
            <w:proofErr w:type="spellStart"/>
            <w:r w:rsidRPr="009B6A0A">
              <w:rPr>
                <w:sz w:val="24"/>
                <w:szCs w:val="24"/>
              </w:rPr>
              <w:t>Perdium</w:t>
            </w:r>
            <w:proofErr w:type="spellEnd"/>
            <w:r w:rsidRPr="009B6A0A">
              <w:rPr>
                <w:sz w:val="24"/>
                <w:szCs w:val="24"/>
              </w:rPr>
              <w:t xml:space="preserve"> (nourriture) </w:t>
            </w:r>
          </w:p>
        </w:tc>
        <w:tc>
          <w:tcPr>
            <w:tcW w:w="1134" w:type="dxa"/>
          </w:tcPr>
          <w:p w:rsidR="00816CE1" w:rsidRPr="009B6A0A" w:rsidRDefault="00816CE1" w:rsidP="001D7B87">
            <w:pPr>
              <w:rPr>
                <w:sz w:val="24"/>
                <w:szCs w:val="24"/>
              </w:rPr>
            </w:pPr>
          </w:p>
        </w:tc>
        <w:tc>
          <w:tcPr>
            <w:tcW w:w="1276" w:type="dxa"/>
          </w:tcPr>
          <w:p w:rsidR="00816CE1" w:rsidRPr="009B6A0A" w:rsidRDefault="00816CE1" w:rsidP="001D7B87">
            <w:pPr>
              <w:rPr>
                <w:sz w:val="24"/>
                <w:szCs w:val="24"/>
              </w:rPr>
            </w:pPr>
          </w:p>
        </w:tc>
        <w:tc>
          <w:tcPr>
            <w:tcW w:w="1701" w:type="dxa"/>
          </w:tcPr>
          <w:p w:rsidR="00816CE1" w:rsidRPr="009B6A0A" w:rsidRDefault="00816CE1" w:rsidP="001D7B87">
            <w:pPr>
              <w:rPr>
                <w:sz w:val="24"/>
                <w:szCs w:val="24"/>
              </w:rPr>
            </w:pPr>
          </w:p>
        </w:tc>
      </w:tr>
      <w:tr w:rsidR="00816CE1" w:rsidRPr="009B6A0A" w:rsidTr="009B6A0A">
        <w:tc>
          <w:tcPr>
            <w:tcW w:w="5353" w:type="dxa"/>
          </w:tcPr>
          <w:p w:rsidR="00816CE1" w:rsidRPr="009B6A0A" w:rsidRDefault="00756A89" w:rsidP="001D7B87">
            <w:pPr>
              <w:rPr>
                <w:sz w:val="24"/>
                <w:szCs w:val="24"/>
              </w:rPr>
            </w:pPr>
            <w:r w:rsidRPr="009B6A0A">
              <w:rPr>
                <w:sz w:val="24"/>
                <w:szCs w:val="24"/>
              </w:rPr>
              <w:t xml:space="preserve">3.4. Chauffeurs (04) </w:t>
            </w:r>
            <w:proofErr w:type="spellStart"/>
            <w:r w:rsidRPr="009B6A0A">
              <w:rPr>
                <w:sz w:val="24"/>
                <w:szCs w:val="24"/>
              </w:rPr>
              <w:t>Perdium</w:t>
            </w:r>
            <w:proofErr w:type="spellEnd"/>
            <w:r w:rsidRPr="009B6A0A">
              <w:rPr>
                <w:sz w:val="24"/>
                <w:szCs w:val="24"/>
              </w:rPr>
              <w:t xml:space="preserve"> (Nourriture + </w:t>
            </w:r>
            <w:proofErr w:type="spellStart"/>
            <w:r w:rsidRPr="009B6A0A">
              <w:rPr>
                <w:sz w:val="24"/>
                <w:szCs w:val="24"/>
              </w:rPr>
              <w:t>Heberg</w:t>
            </w:r>
            <w:proofErr w:type="spellEnd"/>
            <w:r w:rsidRPr="009B6A0A">
              <w:rPr>
                <w:sz w:val="24"/>
                <w:szCs w:val="24"/>
              </w:rPr>
              <w:t>.)</w:t>
            </w:r>
          </w:p>
        </w:tc>
        <w:tc>
          <w:tcPr>
            <w:tcW w:w="1134" w:type="dxa"/>
          </w:tcPr>
          <w:p w:rsidR="00816CE1" w:rsidRPr="009B6A0A" w:rsidRDefault="00816CE1" w:rsidP="00FC6960">
            <w:pPr>
              <w:jc w:val="center"/>
              <w:rPr>
                <w:sz w:val="24"/>
                <w:szCs w:val="24"/>
              </w:rPr>
            </w:pPr>
          </w:p>
        </w:tc>
        <w:tc>
          <w:tcPr>
            <w:tcW w:w="1276" w:type="dxa"/>
          </w:tcPr>
          <w:p w:rsidR="00816CE1" w:rsidRPr="009B6A0A" w:rsidRDefault="00816CE1" w:rsidP="001D7B87">
            <w:pPr>
              <w:rPr>
                <w:sz w:val="24"/>
                <w:szCs w:val="24"/>
              </w:rPr>
            </w:pPr>
          </w:p>
        </w:tc>
        <w:tc>
          <w:tcPr>
            <w:tcW w:w="1701" w:type="dxa"/>
          </w:tcPr>
          <w:p w:rsidR="00816CE1" w:rsidRPr="009B6A0A" w:rsidRDefault="00816CE1" w:rsidP="001D7B87">
            <w:pPr>
              <w:rPr>
                <w:sz w:val="24"/>
                <w:szCs w:val="24"/>
              </w:rPr>
            </w:pPr>
          </w:p>
        </w:tc>
      </w:tr>
      <w:tr w:rsidR="00F255E7" w:rsidRPr="009B6A0A" w:rsidTr="009B6A0A">
        <w:tc>
          <w:tcPr>
            <w:tcW w:w="5353" w:type="dxa"/>
          </w:tcPr>
          <w:p w:rsidR="00F255E7" w:rsidRPr="009B6A0A" w:rsidRDefault="00816CE1" w:rsidP="001D7B87">
            <w:pPr>
              <w:rPr>
                <w:b/>
                <w:sz w:val="24"/>
                <w:szCs w:val="24"/>
              </w:rPr>
            </w:pPr>
            <w:r w:rsidRPr="009B6A0A">
              <w:rPr>
                <w:b/>
                <w:sz w:val="24"/>
                <w:szCs w:val="24"/>
              </w:rPr>
              <w:t>Sous Total III :</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b/>
                <w:sz w:val="24"/>
                <w:szCs w:val="24"/>
              </w:rPr>
            </w:pPr>
            <w:r w:rsidRPr="009B6A0A">
              <w:rPr>
                <w:b/>
                <w:sz w:val="24"/>
                <w:szCs w:val="24"/>
              </w:rPr>
              <w:t>IV. Secrétariat et Coordination</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sz w:val="24"/>
                <w:szCs w:val="24"/>
              </w:rPr>
            </w:pPr>
            <w:r w:rsidRPr="009B6A0A">
              <w:rPr>
                <w:sz w:val="24"/>
                <w:szCs w:val="24"/>
              </w:rPr>
              <w:t>4.1. Honoraires Assistante(01)</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F255E7" w:rsidP="001D7B87">
            <w:pPr>
              <w:rPr>
                <w:sz w:val="24"/>
                <w:szCs w:val="24"/>
              </w:rPr>
            </w:pPr>
            <w:r w:rsidRPr="009B6A0A">
              <w:rPr>
                <w:sz w:val="24"/>
                <w:szCs w:val="24"/>
              </w:rPr>
              <w:t>4.2. Honoraires Consultant rapporteur général (01</w:t>
            </w:r>
            <w:r w:rsidR="00816CE1" w:rsidRPr="009B6A0A">
              <w:rPr>
                <w:sz w:val="24"/>
                <w:szCs w:val="24"/>
              </w:rPr>
              <w:t>)</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816CE1" w:rsidP="001D7B87">
            <w:pPr>
              <w:rPr>
                <w:sz w:val="24"/>
                <w:szCs w:val="24"/>
              </w:rPr>
            </w:pPr>
            <w:r w:rsidRPr="009B6A0A">
              <w:rPr>
                <w:sz w:val="24"/>
                <w:szCs w:val="24"/>
              </w:rPr>
              <w:t>4.3. Autres frais de secrétariat et de coordination</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F255E7" w:rsidRPr="009B6A0A" w:rsidTr="009B6A0A">
        <w:tc>
          <w:tcPr>
            <w:tcW w:w="5353" w:type="dxa"/>
          </w:tcPr>
          <w:p w:rsidR="00F255E7" w:rsidRPr="009B6A0A" w:rsidRDefault="00816CE1" w:rsidP="001D7B87">
            <w:pPr>
              <w:rPr>
                <w:b/>
                <w:sz w:val="24"/>
                <w:szCs w:val="24"/>
              </w:rPr>
            </w:pPr>
            <w:r w:rsidRPr="009B6A0A">
              <w:rPr>
                <w:b/>
                <w:sz w:val="24"/>
                <w:szCs w:val="24"/>
              </w:rPr>
              <w:t xml:space="preserve">Sous Total IV : </w:t>
            </w:r>
          </w:p>
        </w:tc>
        <w:tc>
          <w:tcPr>
            <w:tcW w:w="1134" w:type="dxa"/>
          </w:tcPr>
          <w:p w:rsidR="00F255E7" w:rsidRPr="009B6A0A" w:rsidRDefault="00F255E7" w:rsidP="001D7B87">
            <w:pPr>
              <w:rPr>
                <w:sz w:val="24"/>
                <w:szCs w:val="24"/>
              </w:rPr>
            </w:pPr>
          </w:p>
        </w:tc>
        <w:tc>
          <w:tcPr>
            <w:tcW w:w="1276" w:type="dxa"/>
          </w:tcPr>
          <w:p w:rsidR="00F255E7" w:rsidRPr="009B6A0A" w:rsidRDefault="00F255E7" w:rsidP="001D7B87">
            <w:pPr>
              <w:rPr>
                <w:sz w:val="24"/>
                <w:szCs w:val="24"/>
              </w:rPr>
            </w:pPr>
          </w:p>
        </w:tc>
        <w:tc>
          <w:tcPr>
            <w:tcW w:w="1701" w:type="dxa"/>
          </w:tcPr>
          <w:p w:rsidR="00F255E7" w:rsidRPr="009B6A0A" w:rsidRDefault="00F255E7" w:rsidP="001D7B87">
            <w:pPr>
              <w:rPr>
                <w:sz w:val="24"/>
                <w:szCs w:val="24"/>
              </w:rPr>
            </w:pPr>
          </w:p>
        </w:tc>
      </w:tr>
      <w:tr w:rsidR="000976DC" w:rsidRPr="009B6A0A" w:rsidTr="000E5B8B">
        <w:trPr>
          <w:trHeight w:val="826"/>
        </w:trPr>
        <w:tc>
          <w:tcPr>
            <w:tcW w:w="7763" w:type="dxa"/>
            <w:gridSpan w:val="3"/>
          </w:tcPr>
          <w:p w:rsidR="000976DC" w:rsidRPr="009B6A0A" w:rsidRDefault="000976DC" w:rsidP="001D7B87">
            <w:pPr>
              <w:rPr>
                <w:b/>
                <w:sz w:val="24"/>
                <w:szCs w:val="24"/>
              </w:rPr>
            </w:pPr>
          </w:p>
          <w:p w:rsidR="000976DC" w:rsidRPr="009B6A0A" w:rsidRDefault="000976DC" w:rsidP="001D7B87">
            <w:pPr>
              <w:rPr>
                <w:sz w:val="24"/>
                <w:szCs w:val="24"/>
              </w:rPr>
            </w:pPr>
            <w:r w:rsidRPr="009B6A0A">
              <w:rPr>
                <w:b/>
                <w:sz w:val="24"/>
                <w:szCs w:val="24"/>
              </w:rPr>
              <w:t>Budget Total :</w:t>
            </w:r>
          </w:p>
        </w:tc>
        <w:tc>
          <w:tcPr>
            <w:tcW w:w="1701" w:type="dxa"/>
          </w:tcPr>
          <w:p w:rsidR="000976DC" w:rsidRPr="009B6A0A" w:rsidRDefault="000976DC" w:rsidP="001D7B87">
            <w:pPr>
              <w:rPr>
                <w:sz w:val="24"/>
                <w:szCs w:val="24"/>
              </w:rPr>
            </w:pPr>
          </w:p>
          <w:p w:rsidR="000976DC" w:rsidRPr="009B6A0A" w:rsidRDefault="000976DC" w:rsidP="001D7B87">
            <w:pPr>
              <w:rPr>
                <w:sz w:val="24"/>
                <w:szCs w:val="24"/>
              </w:rPr>
            </w:pPr>
          </w:p>
        </w:tc>
      </w:tr>
    </w:tbl>
    <w:p w:rsidR="00D116DD" w:rsidRDefault="00D116DD" w:rsidP="001D7B87">
      <w:pPr>
        <w:spacing w:after="0" w:line="240" w:lineRule="auto"/>
      </w:pPr>
    </w:p>
    <w:sectPr w:rsidR="00D116DD" w:rsidSect="00214B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0EC" w:rsidRDefault="00AC10EC" w:rsidP="00512DB5">
      <w:pPr>
        <w:spacing w:after="0" w:line="240" w:lineRule="auto"/>
      </w:pPr>
      <w:r>
        <w:separator/>
      </w:r>
    </w:p>
  </w:endnote>
  <w:endnote w:type="continuationSeparator" w:id="0">
    <w:p w:rsidR="00AC10EC" w:rsidRDefault="00AC10EC" w:rsidP="0051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31094"/>
      <w:docPartObj>
        <w:docPartGallery w:val="Page Numbers (Bottom of Page)"/>
        <w:docPartUnique/>
      </w:docPartObj>
    </w:sdtPr>
    <w:sdtEndPr/>
    <w:sdtContent>
      <w:p w:rsidR="00F255E7" w:rsidRDefault="00AC10EC">
        <w:pPr>
          <w:pStyle w:val="Pieddepage"/>
          <w:jc w:val="center"/>
        </w:pPr>
        <w:r>
          <w:fldChar w:fldCharType="begin"/>
        </w:r>
        <w:r>
          <w:instrText xml:space="preserve"> PAGE   \* MERGEFORMAT </w:instrText>
        </w:r>
        <w:r>
          <w:fldChar w:fldCharType="separate"/>
        </w:r>
        <w:r w:rsidR="00D60249">
          <w:rPr>
            <w:noProof/>
          </w:rPr>
          <w:t>1</w:t>
        </w:r>
        <w:r>
          <w:rPr>
            <w:noProof/>
          </w:rPr>
          <w:fldChar w:fldCharType="end"/>
        </w:r>
      </w:p>
    </w:sdtContent>
  </w:sdt>
  <w:p w:rsidR="00F255E7" w:rsidRDefault="00F255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0EC" w:rsidRDefault="00AC10EC" w:rsidP="00512DB5">
      <w:pPr>
        <w:spacing w:after="0" w:line="240" w:lineRule="auto"/>
      </w:pPr>
      <w:r>
        <w:separator/>
      </w:r>
    </w:p>
  </w:footnote>
  <w:footnote w:type="continuationSeparator" w:id="0">
    <w:p w:rsidR="00AC10EC" w:rsidRDefault="00AC10EC" w:rsidP="00512DB5">
      <w:pPr>
        <w:spacing w:after="0" w:line="240" w:lineRule="auto"/>
      </w:pPr>
      <w:r>
        <w:continuationSeparator/>
      </w:r>
    </w:p>
  </w:footnote>
  <w:footnote w:id="1">
    <w:p w:rsidR="00F255E7" w:rsidRDefault="00F255E7" w:rsidP="00BA6976">
      <w:pPr>
        <w:pStyle w:val="Notedebasdepage"/>
        <w:jc w:val="both"/>
      </w:pPr>
      <w:r>
        <w:rPr>
          <w:rStyle w:val="Appelnotedebasdep"/>
        </w:rPr>
        <w:footnoteRef/>
      </w:r>
      <w:r>
        <w:t xml:space="preserve"> </w:t>
      </w:r>
      <w:r w:rsidRPr="003550E6">
        <w:t xml:space="preserve">Il s’agit de Cent (100) participants par région ; en moyenne trente par Département et dix participants par Arrondissement) pour une durée de </w:t>
      </w:r>
      <w:r>
        <w:t>sept (07) semaines dont trois (03</w:t>
      </w:r>
      <w:r w:rsidRPr="003550E6">
        <w:t>) semaines</w:t>
      </w:r>
      <w:r>
        <w:t xml:space="preserve"> de terrain et le reste pour l’évaluation et la finalisation des PV et rapport</w:t>
      </w:r>
      <w:r w:rsidRPr="003550E6">
        <w:t>.</w:t>
      </w:r>
    </w:p>
  </w:footnote>
  <w:footnote w:id="2">
    <w:p w:rsidR="00F255E7" w:rsidRDefault="00F255E7" w:rsidP="00BA6976">
      <w:pPr>
        <w:pStyle w:val="Notedebasdepage"/>
        <w:jc w:val="both"/>
      </w:pPr>
      <w:r>
        <w:rPr>
          <w:rStyle w:val="Appelnotedebasdep"/>
        </w:rPr>
        <w:footnoteRef/>
      </w:r>
      <w:r>
        <w:t xml:space="preserve"> Il s’agit d’un </w:t>
      </w:r>
      <w:r w:rsidR="007F52CD">
        <w:t>procès-verbal</w:t>
      </w:r>
      <w:r>
        <w:t xml:space="preserve"> de réunion par région administrative produit par une personne – ressource (consultant) et validé par le Gouverneur en qualité de Président de séance.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54C"/>
    <w:multiLevelType w:val="multilevel"/>
    <w:tmpl w:val="5CE67C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63A5763"/>
    <w:multiLevelType w:val="hybridMultilevel"/>
    <w:tmpl w:val="0568BAC4"/>
    <w:lvl w:ilvl="0" w:tplc="864A5E7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F31EAE"/>
    <w:multiLevelType w:val="hybridMultilevel"/>
    <w:tmpl w:val="447EF69C"/>
    <w:lvl w:ilvl="0" w:tplc="864A5E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CF3776"/>
    <w:multiLevelType w:val="hybridMultilevel"/>
    <w:tmpl w:val="C4B60F54"/>
    <w:lvl w:ilvl="0" w:tplc="864A5E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76"/>
    <w:rsid w:val="00020CC4"/>
    <w:rsid w:val="000976DC"/>
    <w:rsid w:val="000C2CEA"/>
    <w:rsid w:val="0011559B"/>
    <w:rsid w:val="00163E17"/>
    <w:rsid w:val="0018759F"/>
    <w:rsid w:val="001D7B87"/>
    <w:rsid w:val="001F41BE"/>
    <w:rsid w:val="002106FA"/>
    <w:rsid w:val="00211B29"/>
    <w:rsid w:val="00214BE6"/>
    <w:rsid w:val="00225456"/>
    <w:rsid w:val="002354E5"/>
    <w:rsid w:val="002658BE"/>
    <w:rsid w:val="002A5A87"/>
    <w:rsid w:val="002C6D26"/>
    <w:rsid w:val="00322355"/>
    <w:rsid w:val="003550E6"/>
    <w:rsid w:val="003946C3"/>
    <w:rsid w:val="003A7E3E"/>
    <w:rsid w:val="003C5E7F"/>
    <w:rsid w:val="003D79EC"/>
    <w:rsid w:val="003E0710"/>
    <w:rsid w:val="003E51AA"/>
    <w:rsid w:val="00401716"/>
    <w:rsid w:val="004357EA"/>
    <w:rsid w:val="00441D27"/>
    <w:rsid w:val="004549BA"/>
    <w:rsid w:val="004561B2"/>
    <w:rsid w:val="004865DF"/>
    <w:rsid w:val="004D3C62"/>
    <w:rsid w:val="004D41C8"/>
    <w:rsid w:val="004F3AB7"/>
    <w:rsid w:val="00512DB5"/>
    <w:rsid w:val="00527BB7"/>
    <w:rsid w:val="005B3EA9"/>
    <w:rsid w:val="005D1F66"/>
    <w:rsid w:val="00664951"/>
    <w:rsid w:val="006A1EA2"/>
    <w:rsid w:val="00715A19"/>
    <w:rsid w:val="00756A89"/>
    <w:rsid w:val="007C1F02"/>
    <w:rsid w:val="007F52CD"/>
    <w:rsid w:val="00816CE1"/>
    <w:rsid w:val="00892C31"/>
    <w:rsid w:val="00895BA1"/>
    <w:rsid w:val="008C7632"/>
    <w:rsid w:val="008D009E"/>
    <w:rsid w:val="00913583"/>
    <w:rsid w:val="00961820"/>
    <w:rsid w:val="00962DB0"/>
    <w:rsid w:val="009A22B7"/>
    <w:rsid w:val="009A63B9"/>
    <w:rsid w:val="009B46F7"/>
    <w:rsid w:val="009B6A0A"/>
    <w:rsid w:val="009E0636"/>
    <w:rsid w:val="00A20C1F"/>
    <w:rsid w:val="00A9270C"/>
    <w:rsid w:val="00AA144E"/>
    <w:rsid w:val="00AB53B8"/>
    <w:rsid w:val="00AC10EC"/>
    <w:rsid w:val="00B405F4"/>
    <w:rsid w:val="00B60F76"/>
    <w:rsid w:val="00B93E60"/>
    <w:rsid w:val="00BA5D4B"/>
    <w:rsid w:val="00BA6976"/>
    <w:rsid w:val="00BE7396"/>
    <w:rsid w:val="00CC495D"/>
    <w:rsid w:val="00CD733D"/>
    <w:rsid w:val="00D116DD"/>
    <w:rsid w:val="00D15787"/>
    <w:rsid w:val="00D25391"/>
    <w:rsid w:val="00D31ED1"/>
    <w:rsid w:val="00D60249"/>
    <w:rsid w:val="00D8371C"/>
    <w:rsid w:val="00D90CAF"/>
    <w:rsid w:val="00DB37C1"/>
    <w:rsid w:val="00E004AF"/>
    <w:rsid w:val="00E15983"/>
    <w:rsid w:val="00E634EA"/>
    <w:rsid w:val="00ED7489"/>
    <w:rsid w:val="00F20CFB"/>
    <w:rsid w:val="00F255E7"/>
    <w:rsid w:val="00F53C55"/>
    <w:rsid w:val="00FC6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2FDC-F20B-EC42-B17C-E4C21CFC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951"/>
    <w:pPr>
      <w:ind w:left="720"/>
      <w:contextualSpacing/>
    </w:pPr>
  </w:style>
  <w:style w:type="paragraph" w:styleId="En-tte">
    <w:name w:val="header"/>
    <w:basedOn w:val="Normal"/>
    <w:link w:val="En-tteCar"/>
    <w:uiPriority w:val="99"/>
    <w:semiHidden/>
    <w:unhideWhenUsed/>
    <w:rsid w:val="00512D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2DB5"/>
  </w:style>
  <w:style w:type="paragraph" w:styleId="Pieddepage">
    <w:name w:val="footer"/>
    <w:basedOn w:val="Normal"/>
    <w:link w:val="PieddepageCar"/>
    <w:uiPriority w:val="99"/>
    <w:unhideWhenUsed/>
    <w:rsid w:val="00512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DB5"/>
  </w:style>
  <w:style w:type="paragraph" w:styleId="Notedebasdepage">
    <w:name w:val="footnote text"/>
    <w:basedOn w:val="Normal"/>
    <w:link w:val="NotedebasdepageCar"/>
    <w:uiPriority w:val="99"/>
    <w:semiHidden/>
    <w:unhideWhenUsed/>
    <w:rsid w:val="003550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E6"/>
    <w:rPr>
      <w:sz w:val="20"/>
      <w:szCs w:val="20"/>
    </w:rPr>
  </w:style>
  <w:style w:type="character" w:styleId="Appelnotedebasdep">
    <w:name w:val="footnote reference"/>
    <w:basedOn w:val="Policepardfaut"/>
    <w:uiPriority w:val="99"/>
    <w:semiHidden/>
    <w:unhideWhenUsed/>
    <w:rsid w:val="003550E6"/>
    <w:rPr>
      <w:vertAlign w:val="superscript"/>
    </w:rPr>
  </w:style>
  <w:style w:type="table" w:styleId="Grilledutableau">
    <w:name w:val="Table Grid"/>
    <w:basedOn w:val="TableauNormal"/>
    <w:uiPriority w:val="59"/>
    <w:rsid w:val="00D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5E534-2956-0949-81E7-FF682D6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7770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2019-11-05T15:34:00Z</dcterms:created>
  <dcterms:modified xsi:type="dcterms:W3CDTF">2019-11-05T15:34:00Z</dcterms:modified>
</cp:coreProperties>
</file>